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199"/>
        <w:spacing w:after="0"/>
        <w:rPr>
          <w:sz w:val="20"/>
          <w:szCs w:val="20"/>
          <w:color w:val="auto"/>
        </w:rPr>
      </w:pPr>
      <w:r>
        <w:rPr>
          <w:rFonts w:ascii="Courier New" w:cs="Courier New" w:eastAsia="Courier New" w:hAnsi="Courier New"/>
          <w:sz w:val="18"/>
          <w:szCs w:val="18"/>
          <w:color w:val="auto"/>
        </w:rPr>
        <w:t>Rule No. 424(b)(3)</w:t>
      </w:r>
    </w:p>
    <w:p>
      <w:pPr>
        <w:jc w:val="right"/>
        <w:ind w:right="2199"/>
        <w:spacing w:after="0" w:line="238" w:lineRule="auto"/>
        <w:rPr>
          <w:sz w:val="20"/>
          <w:szCs w:val="20"/>
          <w:color w:val="auto"/>
        </w:rPr>
      </w:pPr>
      <w:r>
        <w:rPr>
          <w:rFonts w:ascii="Courier New" w:cs="Courier New" w:eastAsia="Courier New" w:hAnsi="Courier New"/>
          <w:sz w:val="18"/>
          <w:szCs w:val="18"/>
          <w:color w:val="auto"/>
        </w:rPr>
        <w:t>Registration No. 333-5212</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PROSPECTUS SUPPLEMENT TO PROSPECTUS DATED SEPTEMBER 19, 1996</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US$100,000,000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Imax Corporation</w:t>
      </w:r>
    </w:p>
    <w:p>
      <w:pPr>
        <w:jc w:val="center"/>
        <w:ind w:right="1879"/>
        <w:spacing w:after="0"/>
        <w:rPr>
          <w:sz w:val="20"/>
          <w:szCs w:val="20"/>
          <w:color w:val="auto"/>
        </w:rPr>
      </w:pPr>
      <w:r>
        <w:rPr>
          <w:rFonts w:ascii="Courier New" w:cs="Courier New" w:eastAsia="Courier New" w:hAnsi="Courier New"/>
          <w:sz w:val="18"/>
          <w:szCs w:val="18"/>
          <w:color w:val="auto"/>
        </w:rPr>
        <w:t>5 3/4% CONVERTIBLE SUBORDINATED NOTES DUE APRIL 1, 2003</w:t>
      </w:r>
    </w:p>
    <w:p>
      <w:pPr>
        <w:spacing w:after="0" w:line="200" w:lineRule="exact"/>
        <w:rPr>
          <w:sz w:val="24"/>
          <w:szCs w:val="24"/>
          <w:color w:val="auto"/>
        </w:rPr>
      </w:pPr>
    </w:p>
    <w:p>
      <w:pPr>
        <w:spacing w:after="0" w:line="209" w:lineRule="exact"/>
        <w:rPr>
          <w:sz w:val="24"/>
          <w:szCs w:val="24"/>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following items are hereby added to the Selling Securityholder table on pages 15 and 16 of the accompanying Prospectus, as amended by the Prospectus Supplements dated September 27, 1996, November 5, 1996, January 30, 1997, May 9, 1997 and December 18, 1997: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640"/>
        <w:spacing w:after="0"/>
        <w:tabs>
          <w:tab w:leader="none" w:pos="1560" w:val="left"/>
          <w:tab w:leader="none" w:pos="5140" w:val="left"/>
          <w:tab w:leader="none" w:pos="568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8"/>
          <w:szCs w:val="18"/>
          <w:color w:val="auto"/>
        </w:rPr>
        <w:t>McMahan Securities Company, L.P.</w:t>
        <w:tab/>
        <w:t>$</w:t>
      </w:r>
      <w:r>
        <w:rPr>
          <w:sz w:val="20"/>
          <w:szCs w:val="20"/>
          <w:color w:val="auto"/>
        </w:rPr>
        <w:tab/>
      </w:r>
      <w:r>
        <w:rPr>
          <w:rFonts w:ascii="Courier New" w:cs="Courier New" w:eastAsia="Courier New" w:hAnsi="Courier New"/>
          <w:sz w:val="16"/>
          <w:szCs w:val="16"/>
          <w:color w:val="auto"/>
        </w:rPr>
        <w:t>60,000</w:t>
      </w:r>
    </w:p>
    <w:p>
      <w:pPr>
        <w:ind w:left="1580" w:hanging="835"/>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TQA Vantage Plus, Ltd...........  $ 1,800,000</w:t>
      </w:r>
    </w:p>
    <w:p>
      <w:pPr>
        <w:ind w:left="1580" w:hanging="835"/>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TQA Arbitrage Fund, L.P.........  $ 1,800,000</w:t>
      </w:r>
    </w:p>
    <w:p>
      <w:pPr>
        <w:ind w:left="1580" w:hanging="835"/>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TQA Leverage Fund, L.P..........  $ 1,800,000</w:t>
      </w:r>
    </w:p>
    <w:p>
      <w:pPr>
        <w:ind w:left="1580" w:hanging="835"/>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TQA Vantage Fund, Ltd...........  $ 1,800,000"</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The date of this Prospectus Supplement is May 28, 1998</w:t>
      </w:r>
    </w:p>
    <w:sectPr>
      <w:pgSz w:w="11900" w:h="16838" w:orient="portrait"/>
      <w:cols w:equalWidth="0" w:num="1">
        <w:col w:w="10219"/>
      </w:cols>
      <w:pgMar w:left="2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2019-12-14T03:32:23Z</dcterms:created>
  <dcterms:modified xsi:type="dcterms:W3CDTF">2019-12-14T03:32:23Z</dcterms:modified>
</cp:coreProperties>
</file>