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40"/>
        <w:spacing w:after="0" w:line="252" w:lineRule="auto"/>
        <w:rPr>
          <w:sz w:val="20"/>
          <w:szCs w:val="20"/>
          <w:color w:val="auto"/>
        </w:rPr>
      </w:pPr>
      <w:r>
        <w:rPr>
          <w:rFonts w:ascii="Courier New" w:cs="Courier New" w:eastAsia="Courier New" w:hAnsi="Courier New"/>
          <w:sz w:val="15"/>
          <w:szCs w:val="15"/>
          <w:color w:val="auto"/>
        </w:rPr>
        <w:t>================================================================================ UNITED STATES SECURITIES AND EXCHANGE COMMISSION Washington, D.C. 20549</w:t>
      </w:r>
    </w:p>
    <w:p>
      <w:pPr>
        <w:spacing w:after="0" w:line="348"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FORM 10-Q</w:t>
      </w:r>
    </w:p>
    <w:p>
      <w:pPr>
        <w:spacing w:after="0" w:line="182" w:lineRule="exact"/>
        <w:rPr>
          <w:sz w:val="24"/>
          <w:szCs w:val="24"/>
          <w:color w:val="auto"/>
        </w:rPr>
      </w:pPr>
    </w:p>
    <w:p>
      <w:pPr>
        <w:ind w:left="466" w:right="3719" w:hanging="466"/>
        <w:spacing w:after="0" w:line="250" w:lineRule="auto"/>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5" w:lineRule="exact"/>
        <w:rPr>
          <w:sz w:val="24"/>
          <w:szCs w:val="24"/>
          <w:color w:val="auto"/>
        </w:rPr>
      </w:pPr>
    </w:p>
    <w:p>
      <w:pPr>
        <w:ind w:left="1366"/>
        <w:spacing w:after="0"/>
        <w:rPr>
          <w:sz w:val="20"/>
          <w:szCs w:val="20"/>
          <w:color w:val="auto"/>
        </w:rPr>
      </w:pPr>
      <w:r>
        <w:rPr>
          <w:rFonts w:ascii="Courier New" w:cs="Courier New" w:eastAsia="Courier New" w:hAnsi="Courier New"/>
          <w:sz w:val="15"/>
          <w:szCs w:val="15"/>
          <w:color w:val="auto"/>
        </w:rPr>
        <w:t>For the quarterly period ended September 30, 1997</w:t>
      </w:r>
    </w:p>
    <w:p>
      <w:pPr>
        <w:spacing w:after="0" w:line="6" w:lineRule="exact"/>
        <w:rPr>
          <w:sz w:val="24"/>
          <w:szCs w:val="24"/>
          <w:color w:val="auto"/>
        </w:rPr>
      </w:pPr>
    </w:p>
    <w:p>
      <w:pPr>
        <w:ind w:left="420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3486"/>
        <w:spacing w:after="0"/>
        <w:rPr>
          <w:sz w:val="20"/>
          <w:szCs w:val="20"/>
          <w:color w:val="auto"/>
        </w:rPr>
      </w:pPr>
      <w:r>
        <w:rPr>
          <w:rFonts w:ascii="Courier New" w:cs="Courier New" w:eastAsia="Courier New" w:hAnsi="Courier New"/>
          <w:sz w:val="15"/>
          <w:szCs w:val="15"/>
          <w:color w:val="auto"/>
        </w:rPr>
        <w:t>OR</w:t>
      </w:r>
    </w:p>
    <w:p>
      <w:pPr>
        <w:spacing w:after="0" w:line="182" w:lineRule="exact"/>
        <w:rPr>
          <w:sz w:val="24"/>
          <w:szCs w:val="24"/>
          <w:color w:val="auto"/>
        </w:rPr>
      </w:pPr>
    </w:p>
    <w:p>
      <w:pPr>
        <w:ind w:left="466" w:right="3619" w:hanging="466"/>
        <w:spacing w:after="0" w:line="250" w:lineRule="auto"/>
        <w:tabs>
          <w:tab w:leader="none" w:pos="19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75"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Commission File Number 0-24216</w:t>
      </w:r>
    </w:p>
    <w:p>
      <w:pPr>
        <w:spacing w:after="0" w:line="359" w:lineRule="exact"/>
        <w:rPr>
          <w:sz w:val="24"/>
          <w:szCs w:val="24"/>
          <w:color w:val="auto"/>
        </w:rPr>
      </w:pPr>
    </w:p>
    <w:p>
      <w:pPr>
        <w:jc w:val="center"/>
        <w:ind w:right="3073"/>
        <w:spacing w:after="0"/>
        <w:rPr>
          <w:sz w:val="20"/>
          <w:szCs w:val="20"/>
          <w:color w:val="auto"/>
        </w:rPr>
      </w:pPr>
      <w:r>
        <w:rPr>
          <w:rFonts w:ascii="Courier New" w:cs="Courier New" w:eastAsia="Courier New" w:hAnsi="Courier New"/>
          <w:sz w:val="15"/>
          <w:szCs w:val="15"/>
          <w:color w:val="auto"/>
        </w:rPr>
        <w:t>IMAX CORPORATION</w:t>
      </w:r>
    </w:p>
    <w:p>
      <w:pPr>
        <w:spacing w:after="0" w:line="6" w:lineRule="exact"/>
        <w:rPr>
          <w:sz w:val="24"/>
          <w:szCs w:val="24"/>
          <w:color w:val="auto"/>
        </w:rPr>
      </w:pPr>
    </w:p>
    <w:p>
      <w:pPr>
        <w:jc w:val="center"/>
        <w:ind w:right="3073"/>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4" w:top="588" w:right="1440" w:bottom="1440" w:gutter="0" w:footer="0" w:header="0"/>
        </w:sectPr>
      </w:pPr>
    </w:p>
    <w:p>
      <w:pPr>
        <w:spacing w:after="0" w:line="359" w:lineRule="exact"/>
        <w:rPr>
          <w:sz w:val="24"/>
          <w:szCs w:val="24"/>
          <w:color w:val="auto"/>
        </w:rPr>
      </w:pPr>
    </w:p>
    <w:p>
      <w:pPr>
        <w:ind w:left="1646"/>
        <w:spacing w:after="0"/>
        <w:rPr>
          <w:sz w:val="20"/>
          <w:szCs w:val="20"/>
          <w:color w:val="auto"/>
        </w:rPr>
      </w:pPr>
      <w:r>
        <w:rPr>
          <w:rFonts w:ascii="Courier New" w:cs="Courier New" w:eastAsia="Courier New" w:hAnsi="Courier New"/>
          <w:sz w:val="15"/>
          <w:szCs w:val="15"/>
          <w:color w:val="auto"/>
        </w:rPr>
        <w:t>Canada</w:t>
      </w:r>
    </w:p>
    <w:p>
      <w:pPr>
        <w:spacing w:after="0" w:line="6"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(State or other jurisdiction of</w:t>
      </w:r>
    </w:p>
    <w:p>
      <w:pPr>
        <w:spacing w:after="0" w:line="6"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ind w:left="640"/>
        <w:spacing w:after="0"/>
        <w:rPr>
          <w:sz w:val="20"/>
          <w:szCs w:val="20"/>
          <w:color w:val="auto"/>
        </w:rPr>
      </w:pPr>
      <w:r>
        <w:rPr>
          <w:rFonts w:ascii="Courier New" w:cs="Courier New" w:eastAsia="Courier New" w:hAnsi="Courier New"/>
          <w:sz w:val="15"/>
          <w:szCs w:val="15"/>
          <w:color w:val="auto"/>
        </w:rPr>
        <w:t>98-0140269</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200" w:lineRule="exact"/>
        <w:rPr>
          <w:sz w:val="24"/>
          <w:szCs w:val="24"/>
          <w:color w:val="auto"/>
        </w:rPr>
      </w:pPr>
    </w:p>
    <w:p>
      <w:pPr>
        <w:sectPr>
          <w:pgSz w:w="11900" w:h="16838" w:orient="portrait"/>
          <w:cols w:equalWidth="0" w:num="2">
            <w:col w:w="4406" w:space="720"/>
            <w:col w:w="5099"/>
          </w:cols>
          <w:pgMar w:left="234" w:top="588" w:right="1440" w:bottom="1440" w:gutter="0" w:footer="0" w:header="0"/>
          <w:type w:val="continuous"/>
        </w:sectPr>
      </w:pPr>
    </w:p>
    <w:p>
      <w:pPr>
        <w:spacing w:after="0" w:line="159" w:lineRule="exact"/>
        <w:rPr>
          <w:sz w:val="24"/>
          <w:szCs w:val="24"/>
          <w:color w:val="auto"/>
        </w:rPr>
      </w:pPr>
    </w:p>
    <w:p>
      <w:pPr>
        <w:ind w:left="726" w:firstLine="92"/>
        <w:spacing w:after="0" w:line="249" w:lineRule="auto"/>
        <w:rPr>
          <w:sz w:val="20"/>
          <w:szCs w:val="20"/>
          <w:color w:val="auto"/>
        </w:rPr>
      </w:pPr>
      <w:r>
        <w:rPr>
          <w:rFonts w:ascii="Courier New" w:cs="Courier New" w:eastAsia="Courier New" w:hAnsi="Courier New"/>
          <w:sz w:val="15"/>
          <w:szCs w:val="15"/>
          <w:color w:val="auto"/>
        </w:rPr>
        <w:t>2525 Speakman Drive, Mississauga, Ontario, Canada --------------------------------------------------- (Address of principal executive offices)</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L5K 1B1</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(Postal Code)</w:t>
      </w:r>
    </w:p>
    <w:p>
      <w:pPr>
        <w:spacing w:after="0" w:line="206" w:lineRule="exact"/>
        <w:rPr>
          <w:sz w:val="24"/>
          <w:szCs w:val="24"/>
          <w:color w:val="auto"/>
        </w:rPr>
      </w:pPr>
    </w:p>
    <w:p>
      <w:pPr>
        <w:sectPr>
          <w:pgSz w:w="11900" w:h="16838" w:orient="portrait"/>
          <w:cols w:equalWidth="0" w:num="2">
            <w:col w:w="5406" w:space="360"/>
            <w:col w:w="4459"/>
          </w:cols>
          <w:pgMar w:left="234" w:top="588" w:right="1440" w:bottom="1440" w:gutter="0" w:footer="0" w:header="0"/>
          <w:type w:val="continuous"/>
        </w:sectPr>
      </w:pPr>
    </w:p>
    <w:p>
      <w:pPr>
        <w:spacing w:after="0" w:line="152"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(905) 403-6500</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ectPr>
          <w:pgSz w:w="11900" w:h="16838" w:orient="portrait"/>
          <w:cols w:equalWidth="0" w:num="2">
            <w:col w:w="5306" w:space="280"/>
            <w:col w:w="4639"/>
          </w:cols>
          <w:pgMar w:left="234" w:top="588" w:right="1440" w:bottom="1440" w:gutter="0" w:footer="0" w:header="0"/>
          <w:type w:val="continuous"/>
        </w:sectPr>
      </w:pPr>
    </w:p>
    <w:p>
      <w:pPr>
        <w:spacing w:after="0" w:line="159" w:lineRule="exact"/>
        <w:rPr>
          <w:sz w:val="24"/>
          <w:szCs w:val="24"/>
          <w:color w:val="auto"/>
        </w:rPr>
      </w:pPr>
    </w:p>
    <w:p>
      <w:pPr>
        <w:ind w:left="3386"/>
        <w:spacing w:after="0"/>
        <w:rPr>
          <w:sz w:val="20"/>
          <w:szCs w:val="20"/>
          <w:color w:val="auto"/>
        </w:rPr>
      </w:pPr>
      <w:r>
        <w:rPr>
          <w:rFonts w:ascii="Courier New" w:cs="Courier New" w:eastAsia="Courier New" w:hAnsi="Courier New"/>
          <w:sz w:val="15"/>
          <w:szCs w:val="15"/>
          <w:color w:val="auto"/>
        </w:rPr>
        <w:t>NONE</w:t>
      </w:r>
    </w:p>
    <w:p>
      <w:pPr>
        <w:spacing w:after="0" w:line="6" w:lineRule="exact"/>
        <w:rPr>
          <w:sz w:val="24"/>
          <w:szCs w:val="24"/>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(Former name or former address, if changed since last report)</w:t>
      </w:r>
    </w:p>
    <w:p>
      <w:pPr>
        <w:spacing w:after="0" w:line="182" w:lineRule="exact"/>
        <w:rPr>
          <w:sz w:val="24"/>
          <w:szCs w:val="24"/>
          <w:color w:val="auto"/>
        </w:rPr>
      </w:pPr>
    </w:p>
    <w:p>
      <w:pPr>
        <w:ind w:left="6" w:right="2899"/>
        <w:spacing w:after="0" w:line="248"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 w:lineRule="exact"/>
        <w:rPr>
          <w:sz w:val="24"/>
          <w:szCs w:val="24"/>
          <w:color w:val="auto"/>
        </w:rPr>
      </w:pPr>
    </w:p>
    <w:p>
      <w:pPr>
        <w:ind w:left="6"/>
        <w:spacing w:after="0"/>
        <w:tabs>
          <w:tab w:leader="none" w:pos="3286" w:val="left"/>
          <w:tab w:leader="none" w:pos="3746" w:val="left"/>
          <w:tab w:leader="none" w:pos="4106" w:val="left"/>
        </w:tabs>
        <w:rPr>
          <w:sz w:val="20"/>
          <w:szCs w:val="20"/>
          <w:color w:val="auto"/>
        </w:rPr>
      </w:pPr>
      <w:r>
        <w:rPr>
          <w:rFonts w:ascii="Courier New" w:cs="Courier New" w:eastAsia="Courier New" w:hAnsi="Courier New"/>
          <w:sz w:val="15"/>
          <w:szCs w:val="15"/>
          <w:color w:val="auto"/>
        </w:rPr>
        <w:t>requirements for the past 90 days.</w:t>
        <w:tab/>
        <w:t>Yes</w:t>
        <w:tab/>
        <w:t>X</w:t>
      </w:r>
      <w:r>
        <w:rPr>
          <w:sz w:val="20"/>
          <w:szCs w:val="20"/>
          <w:color w:val="auto"/>
        </w:rPr>
        <w:tab/>
      </w:r>
      <w:r>
        <w:rPr>
          <w:rFonts w:ascii="Courier New" w:cs="Courier New" w:eastAsia="Courier New" w:hAnsi="Courier New"/>
          <w:sz w:val="15"/>
          <w:szCs w:val="15"/>
          <w:color w:val="auto"/>
        </w:rPr>
        <w:t>No</w:t>
      </w:r>
    </w:p>
    <w:p>
      <w:pPr>
        <w:spacing w:after="0" w:line="6" w:lineRule="exact"/>
        <w:rPr>
          <w:sz w:val="24"/>
          <w:szCs w:val="24"/>
          <w:color w:val="auto"/>
        </w:rPr>
      </w:pPr>
    </w:p>
    <w:p>
      <w:pPr>
        <w:ind w:left="3666"/>
        <w:spacing w:after="0"/>
        <w:tabs>
          <w:tab w:leader="none" w:pos="428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4"/>
          <w:szCs w:val="24"/>
          <w:color w:val="auto"/>
        </w:rPr>
      </w:pPr>
    </w:p>
    <w:p>
      <w:pPr>
        <w:ind w:left="6" w:right="3079"/>
        <w:spacing w:after="0" w:line="250" w:lineRule="auto"/>
        <w:rPr>
          <w:sz w:val="20"/>
          <w:szCs w:val="20"/>
          <w:color w:val="auto"/>
        </w:rPr>
      </w:pPr>
      <w:r>
        <w:rPr>
          <w:rFonts w:ascii="Courier New" w:cs="Courier New" w:eastAsia="Courier New" w:hAnsi="Courier New"/>
          <w:sz w:val="15"/>
          <w:szCs w:val="15"/>
          <w:color w:val="auto"/>
        </w:rPr>
        <w:t>Indicate the number of shares of each of the issuer's classes of common stock, as of the latest practicable date:</w:t>
      </w:r>
    </w:p>
    <w:p>
      <w:pPr>
        <w:sectPr>
          <w:pgSz w:w="11900" w:h="16838" w:orient="portrait"/>
          <w:cols w:equalWidth="0" w:num="1">
            <w:col w:w="10225"/>
          </w:cols>
          <w:pgMar w:left="234" w:top="588" w:right="1440" w:bottom="1440" w:gutter="0" w:footer="0" w:header="0"/>
          <w:type w:val="continuous"/>
        </w:sectPr>
      </w:pPr>
    </w:p>
    <w:p>
      <w:pPr>
        <w:spacing w:after="0" w:line="175"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Class</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Common stock, no par value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as of November 11, 1997</w:t>
      </w: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29,272,218</w:t>
      </w:r>
    </w:p>
    <w:p>
      <w:pPr>
        <w:spacing w:after="0" w:line="182" w:lineRule="exact"/>
        <w:rPr>
          <w:sz w:val="24"/>
          <w:szCs w:val="24"/>
          <w:color w:val="auto"/>
        </w:rPr>
      </w:pPr>
    </w:p>
    <w:p>
      <w:pPr>
        <w:sectPr>
          <w:pgSz w:w="11900" w:h="16838" w:orient="portrait"/>
          <w:cols w:equalWidth="0" w:num="2">
            <w:col w:w="3406" w:space="720"/>
            <w:col w:w="6099"/>
          </w:cols>
          <w:pgMar w:left="234" w:top="588" w:right="1440" w:bottom="1440" w:gutter="0" w:footer="0" w:header="0"/>
          <w:type w:val="continuous"/>
        </w:sectPr>
      </w:pPr>
    </w:p>
    <w:p>
      <w:pPr>
        <w:jc w:val="center"/>
        <w:ind w:right="3093"/>
        <w:spacing w:after="0"/>
        <w:rPr>
          <w:sz w:val="20"/>
          <w:szCs w:val="20"/>
          <w:color w:val="auto"/>
        </w:rPr>
      </w:pPr>
      <w:r>
        <w:rPr>
          <w:rFonts w:ascii="Courier New" w:cs="Courier New" w:eastAsia="Courier New" w:hAnsi="Courier New"/>
          <w:sz w:val="15"/>
          <w:szCs w:val="15"/>
          <w:color w:val="auto"/>
        </w:rPr>
        <w:t>Page 1 of 16</w:t>
      </w:r>
    </w:p>
    <w:p>
      <w:pPr>
        <w:spacing w:after="0" w:line="6" w:lineRule="exact"/>
        <w:rPr>
          <w:sz w:val="24"/>
          <w:szCs w:val="24"/>
          <w:color w:val="auto"/>
        </w:rPr>
      </w:pPr>
    </w:p>
    <w:p>
      <w:pPr>
        <w:jc w:val="center"/>
        <w:ind w:right="3093"/>
        <w:spacing w:after="0"/>
        <w:rPr>
          <w:sz w:val="20"/>
          <w:szCs w:val="20"/>
          <w:color w:val="auto"/>
        </w:rPr>
      </w:pPr>
      <w:r>
        <w:rPr>
          <w:rFonts w:ascii="Courier New" w:cs="Courier New" w:eastAsia="Courier New" w:hAnsi="Courier New"/>
          <w:sz w:val="15"/>
          <w:szCs w:val="15"/>
          <w:color w:val="auto"/>
        </w:rPr>
        <w:t>Exhibit Index on Page 15</w:t>
      </w:r>
    </w:p>
    <w:p>
      <w:pPr>
        <w:sectPr>
          <w:pgSz w:w="11900" w:h="16838" w:orient="portrait"/>
          <w:cols w:equalWidth="0" w:num="1">
            <w:col w:w="10225"/>
          </w:cols>
          <w:pgMar w:left="234" w:top="588" w:right="1440" w:bottom="1440" w:gutter="0" w:footer="0" w:header="0"/>
          <w:type w:val="continuous"/>
        </w:sectPr>
      </w:pPr>
    </w:p>
    <w:bookmarkStart w:id="1" w:name="page2"/>
    <w:bookmarkEnd w:id="1"/>
    <w:p>
      <w:pPr>
        <w:ind w:left="2840"/>
        <w:spacing w:after="0"/>
        <w:rPr>
          <w:sz w:val="20"/>
          <w:szCs w:val="20"/>
          <w:color w:val="auto"/>
        </w:rPr>
      </w:pPr>
      <w:r>
        <w:rPr>
          <w:rFonts w:ascii="Courier New" w:cs="Courier New" w:eastAsia="Courier New" w:hAnsi="Courier New"/>
          <w:sz w:val="15"/>
          <w:szCs w:val="15"/>
          <w:color w:val="auto"/>
        </w:rPr>
        <w:t>IMAX CORPORATION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260" w:type="dxa"/>
            <w:vAlign w:val="bottom"/>
          </w:tcPr>
          <w:p>
            <w:pPr>
              <w:ind w:left="2020"/>
              <w:spacing w:after="0"/>
              <w:rPr>
                <w:sz w:val="20"/>
                <w:szCs w:val="20"/>
                <w:color w:val="auto"/>
              </w:rPr>
            </w:pPr>
            <w:r>
              <w:rPr>
                <w:rFonts w:ascii="Courier New" w:cs="Courier New" w:eastAsia="Courier New" w:hAnsi="Courier New"/>
                <w:sz w:val="15"/>
                <w:szCs w:val="15"/>
                <w:color w:val="auto"/>
              </w:rPr>
              <w:t>INDEX</w:t>
            </w:r>
          </w:p>
        </w:tc>
        <w:tc>
          <w:tcPr>
            <w:tcW w:w="520" w:type="dxa"/>
            <w:vAlign w:val="bottom"/>
          </w:tcPr>
          <w:p>
            <w:pPr>
              <w:spacing w:after="0"/>
              <w:rPr>
                <w:sz w:val="14"/>
                <w:szCs w:val="14"/>
                <w:color w:val="auto"/>
              </w:rPr>
            </w:pPr>
          </w:p>
        </w:tc>
      </w:tr>
      <w:tr>
        <w:trPr>
          <w:trHeight w:val="705"/>
        </w:trPr>
        <w:tc>
          <w:tcPr>
            <w:tcW w:w="13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13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36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520" w:type="dxa"/>
            <w:vAlign w:val="bottom"/>
          </w:tcPr>
          <w:p>
            <w:pPr>
              <w:spacing w:after="0"/>
              <w:rPr>
                <w:sz w:val="24"/>
                <w:szCs w:val="24"/>
                <w:color w:val="auto"/>
              </w:rPr>
            </w:pPr>
          </w:p>
        </w:tc>
      </w:tr>
      <w:tr>
        <w:trPr>
          <w:trHeight w:val="529"/>
        </w:trPr>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Item 1.</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52"/>
        </w:trPr>
        <w:tc>
          <w:tcPr>
            <w:tcW w:w="562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Item 2.   Management's Discussion and Analysis of</w:t>
            </w:r>
          </w:p>
        </w:tc>
        <w:tc>
          <w:tcPr>
            <w:tcW w:w="520" w:type="dxa"/>
            <w:vAlign w:val="bottom"/>
          </w:tcPr>
          <w:p>
            <w:pPr>
              <w:spacing w:after="0"/>
              <w:rPr>
                <w:sz w:val="24"/>
                <w:szCs w:val="24"/>
                <w:color w:val="auto"/>
              </w:rPr>
            </w:pPr>
          </w:p>
        </w:tc>
      </w:tr>
      <w:tr>
        <w:trPr>
          <w:trHeight w:val="176"/>
        </w:trPr>
        <w:tc>
          <w:tcPr>
            <w:tcW w:w="1360" w:type="dxa"/>
            <w:vAlign w:val="bottom"/>
          </w:tcPr>
          <w:p>
            <w:pPr>
              <w:spacing w:after="0"/>
              <w:rPr>
                <w:sz w:val="15"/>
                <w:szCs w:val="15"/>
                <w:color w:val="auto"/>
              </w:rPr>
            </w:pP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Financial Condition and Results of Operations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529"/>
        </w:trPr>
        <w:tc>
          <w:tcPr>
            <w:tcW w:w="136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OTHER INFORMATION</w:t>
            </w:r>
          </w:p>
        </w:tc>
        <w:tc>
          <w:tcPr>
            <w:tcW w:w="520" w:type="dxa"/>
            <w:vAlign w:val="bottom"/>
          </w:tcPr>
          <w:p>
            <w:pPr>
              <w:spacing w:after="0"/>
              <w:rPr>
                <w:sz w:val="24"/>
                <w:szCs w:val="24"/>
                <w:color w:val="auto"/>
              </w:rPr>
            </w:pPr>
          </w:p>
        </w:tc>
      </w:tr>
      <w:tr>
        <w:trPr>
          <w:trHeight w:val="529"/>
        </w:trPr>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Item 1.</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Legal Proceedings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52"/>
        </w:trPr>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rPr>
              <w:t>Item 6.</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Listing of Exhibits and Reports on Form 8-K</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52"/>
        </w:trPr>
        <w:tc>
          <w:tcPr>
            <w:tcW w:w="1360" w:type="dxa"/>
            <w:vAlign w:val="bottom"/>
          </w:tcPr>
          <w:p>
            <w:pPr>
              <w:ind w:left="460"/>
              <w:spacing w:after="0"/>
              <w:rPr>
                <w:sz w:val="20"/>
                <w:szCs w:val="20"/>
                <w:color w:val="auto"/>
              </w:rPr>
            </w:pPr>
            <w:r>
              <w:rPr>
                <w:rFonts w:ascii="Courier New" w:cs="Courier New" w:eastAsia="Courier New" w:hAnsi="Courier New"/>
                <w:sz w:val="15"/>
                <w:szCs w:val="15"/>
                <w:color w:val="auto"/>
                <w:w w:val="97"/>
              </w:rPr>
              <w:t>Signatures</w:t>
            </w:r>
          </w:p>
        </w:tc>
        <w:tc>
          <w:tcPr>
            <w:tcW w:w="4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INFORMATION</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Certain statements in this Report on Form 10-Q under the captions "Management's Discussion and Analysis of Financial Condition and Results of Operations" and "Legal Proceedings" may constitute forward looking statements that involve certain risks and uncertainties which could cause actual results to differ materially from future results expressed or implied by such forward looking statements. Important factors that could effect these statements include the timing of theater system deliveries, the mix of theater systems shipped, the timing of the recognition of revenues and expenses on film production and distribution agreements, and foreign currency fluctuations. These factors and other risks and uncertainties are discussed in the Company's Annual Report on Form 10-K for the year ended December 31, 1996 filed by the Company with the Securities and Exchange Commission.</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19"/>
          </w:cols>
          <w:pgMar w:left="240" w:top="64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6820" w:type="dxa"/>
            <w:vAlign w:val="bottom"/>
          </w:tcPr>
          <w:p>
            <w:pPr>
              <w:ind w:left="2240"/>
              <w:spacing w:after="0"/>
              <w:rPr>
                <w:sz w:val="20"/>
                <w:szCs w:val="20"/>
                <w:color w:val="auto"/>
              </w:rPr>
            </w:pPr>
            <w:r>
              <w:rPr>
                <w:rFonts w:ascii="Courier New" w:cs="Courier New" w:eastAsia="Courier New" w:hAnsi="Courier New"/>
                <w:sz w:val="15"/>
                <w:szCs w:val="15"/>
                <w:color w:val="auto"/>
              </w:rPr>
              <w:t>IMAX CORPORATION</w:t>
            </w:r>
          </w:p>
        </w:tc>
        <w:tc>
          <w:tcPr>
            <w:tcW w:w="640" w:type="dxa"/>
            <w:vAlign w:val="bottom"/>
          </w:tcPr>
          <w:p>
            <w:pPr>
              <w:spacing w:after="0"/>
              <w:rPr>
                <w:sz w:val="14"/>
                <w:szCs w:val="14"/>
                <w:color w:val="auto"/>
              </w:rPr>
            </w:pPr>
          </w:p>
        </w:tc>
      </w:tr>
      <w:tr>
        <w:trPr>
          <w:trHeight w:val="881"/>
        </w:trPr>
        <w:tc>
          <w:tcPr>
            <w:tcW w:w="7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78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820" w:type="dxa"/>
            <w:vAlign w:val="bottom"/>
          </w:tcPr>
          <w:p>
            <w:pPr>
              <w:ind w:left="140"/>
              <w:spacing w:after="0"/>
              <w:rPr>
                <w:sz w:val="20"/>
                <w:szCs w:val="20"/>
                <w:color w:val="auto"/>
              </w:rPr>
            </w:pPr>
            <w:r>
              <w:rPr>
                <w:rFonts w:ascii="Courier New" w:cs="Courier New" w:eastAsia="Courier New" w:hAnsi="Courier New"/>
                <w:sz w:val="15"/>
                <w:szCs w:val="15"/>
                <w:color w:val="auto"/>
              </w:rPr>
              <w:t>FINANCIAL INFORMATION</w:t>
            </w:r>
          </w:p>
        </w:tc>
        <w:tc>
          <w:tcPr>
            <w:tcW w:w="640" w:type="dxa"/>
            <w:vAlign w:val="bottom"/>
          </w:tcPr>
          <w:p>
            <w:pPr>
              <w:spacing w:after="0"/>
              <w:rPr>
                <w:sz w:val="15"/>
                <w:szCs w:val="15"/>
                <w:color w:val="auto"/>
              </w:rPr>
            </w:pPr>
          </w:p>
        </w:tc>
      </w:tr>
      <w:tr>
        <w:trPr>
          <w:trHeight w:val="352"/>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820" w:type="dxa"/>
            <w:vAlign w:val="bottom"/>
          </w:tcPr>
          <w:p>
            <w:pPr>
              <w:ind w:left="140"/>
              <w:spacing w:after="0"/>
              <w:rPr>
                <w:sz w:val="20"/>
                <w:szCs w:val="20"/>
                <w:color w:val="auto"/>
              </w:rPr>
            </w:pPr>
            <w:r>
              <w:rPr>
                <w:rFonts w:ascii="Courier New" w:cs="Courier New" w:eastAsia="Courier New" w:hAnsi="Courier New"/>
                <w:sz w:val="15"/>
                <w:szCs w:val="15"/>
                <w:color w:val="auto"/>
              </w:rPr>
              <w:t>FINANCIAL STATEMENTS</w:t>
            </w:r>
          </w:p>
        </w:tc>
        <w:tc>
          <w:tcPr>
            <w:tcW w:w="640" w:type="dxa"/>
            <w:vAlign w:val="bottom"/>
          </w:tcPr>
          <w:p>
            <w:pPr>
              <w:spacing w:after="0"/>
              <w:rPr>
                <w:sz w:val="24"/>
                <w:szCs w:val="24"/>
                <w:color w:val="auto"/>
              </w:rPr>
            </w:pPr>
          </w:p>
        </w:tc>
      </w:tr>
      <w:tr>
        <w:trPr>
          <w:trHeight w:val="529"/>
        </w:trPr>
        <w:tc>
          <w:tcPr>
            <w:tcW w:w="780" w:type="dxa"/>
            <w:vAlign w:val="bottom"/>
          </w:tcPr>
          <w:p>
            <w:pPr>
              <w:spacing w:after="0"/>
              <w:rPr>
                <w:sz w:val="24"/>
                <w:szCs w:val="24"/>
                <w:color w:val="auto"/>
              </w:rPr>
            </w:pPr>
          </w:p>
        </w:tc>
        <w:tc>
          <w:tcPr>
            <w:tcW w:w="6820" w:type="dxa"/>
            <w:vAlign w:val="bottom"/>
          </w:tcPr>
          <w:p>
            <w:pPr>
              <w:ind w:left="140"/>
              <w:spacing w:after="0"/>
              <w:rPr>
                <w:sz w:val="20"/>
                <w:szCs w:val="20"/>
                <w:color w:val="auto"/>
              </w:rPr>
            </w:pPr>
            <w:r>
              <w:rPr>
                <w:rFonts w:ascii="Courier New" w:cs="Courier New" w:eastAsia="Courier New" w:hAnsi="Courier New"/>
                <w:sz w:val="15"/>
                <w:szCs w:val="15"/>
                <w:color w:val="auto"/>
              </w:rPr>
              <w:t>The following condensed consolidated financial statements are filed as</w:t>
            </w:r>
          </w:p>
        </w:tc>
        <w:tc>
          <w:tcPr>
            <w:tcW w:w="640" w:type="dxa"/>
            <w:vAlign w:val="bottom"/>
          </w:tcPr>
          <w:p>
            <w:pPr>
              <w:spacing w:after="0"/>
              <w:rPr>
                <w:sz w:val="24"/>
                <w:szCs w:val="24"/>
                <w:color w:val="auto"/>
              </w:rPr>
            </w:pPr>
          </w:p>
        </w:tc>
      </w:tr>
      <w:tr>
        <w:trPr>
          <w:trHeight w:val="176"/>
        </w:trPr>
        <w:tc>
          <w:tcPr>
            <w:tcW w:w="780" w:type="dxa"/>
            <w:vAlign w:val="bottom"/>
          </w:tcPr>
          <w:p>
            <w:pPr>
              <w:spacing w:after="0"/>
              <w:rPr>
                <w:sz w:val="15"/>
                <w:szCs w:val="15"/>
                <w:color w:val="auto"/>
              </w:rPr>
            </w:pPr>
          </w:p>
        </w:tc>
        <w:tc>
          <w:tcPr>
            <w:tcW w:w="6820" w:type="dxa"/>
            <w:vAlign w:val="bottom"/>
          </w:tcPr>
          <w:p>
            <w:pPr>
              <w:ind w:left="140"/>
              <w:spacing w:after="0"/>
              <w:rPr>
                <w:sz w:val="20"/>
                <w:szCs w:val="20"/>
                <w:color w:val="auto"/>
              </w:rPr>
            </w:pPr>
            <w:r>
              <w:rPr>
                <w:rFonts w:ascii="Courier New" w:cs="Courier New" w:eastAsia="Courier New" w:hAnsi="Courier New"/>
                <w:sz w:val="15"/>
                <w:szCs w:val="15"/>
                <w:color w:val="auto"/>
              </w:rPr>
              <w:t>part of this Report:</w:t>
            </w:r>
          </w:p>
        </w:tc>
        <w:tc>
          <w:tcPr>
            <w:tcW w:w="640" w:type="dxa"/>
            <w:vAlign w:val="bottom"/>
          </w:tcPr>
          <w:p>
            <w:pPr>
              <w:spacing w:after="0"/>
              <w:rPr>
                <w:sz w:val="15"/>
                <w:szCs w:val="15"/>
                <w:color w:val="auto"/>
              </w:rPr>
            </w:pPr>
          </w:p>
        </w:tc>
      </w:tr>
      <w:tr>
        <w:trPr>
          <w:trHeight w:val="529"/>
        </w:trPr>
        <w:tc>
          <w:tcPr>
            <w:tcW w:w="780" w:type="dxa"/>
            <w:vAlign w:val="bottom"/>
          </w:tcPr>
          <w:p>
            <w:pPr>
              <w:spacing w:after="0"/>
              <w:rPr>
                <w:sz w:val="24"/>
                <w:szCs w:val="24"/>
                <w:color w:val="auto"/>
              </w:rPr>
            </w:pPr>
          </w:p>
        </w:tc>
        <w:tc>
          <w:tcPr>
            <w:tcW w:w="6820" w:type="dxa"/>
            <w:vAlign w:val="bottom"/>
          </w:tcPr>
          <w:p>
            <w:pPr>
              <w:ind w:left="140"/>
              <w:spacing w:after="0"/>
              <w:rPr>
                <w:sz w:val="20"/>
                <w:szCs w:val="20"/>
                <w:color w:val="auto"/>
              </w:rPr>
            </w:pPr>
            <w:r>
              <w:rPr>
                <w:rFonts w:ascii="Courier New" w:cs="Courier New" w:eastAsia="Courier New" w:hAnsi="Courier New"/>
                <w:sz w:val="15"/>
                <w:szCs w:val="15"/>
                <w:color w:val="auto"/>
              </w:rPr>
              <w:t>Condensed Consolidated Balance Sheets as at September 30, 1997</w:t>
            </w:r>
          </w:p>
        </w:tc>
        <w:tc>
          <w:tcPr>
            <w:tcW w:w="640" w:type="dxa"/>
            <w:vAlign w:val="bottom"/>
          </w:tcPr>
          <w:p>
            <w:pPr>
              <w:spacing w:after="0"/>
              <w:rPr>
                <w:sz w:val="24"/>
                <w:szCs w:val="24"/>
                <w:color w:val="auto"/>
              </w:rPr>
            </w:pPr>
          </w:p>
        </w:tc>
      </w:tr>
      <w:tr>
        <w:trPr>
          <w:trHeight w:val="176"/>
        </w:trPr>
        <w:tc>
          <w:tcPr>
            <w:tcW w:w="780" w:type="dxa"/>
            <w:vAlign w:val="bottom"/>
          </w:tcPr>
          <w:p>
            <w:pPr>
              <w:spacing w:after="0"/>
              <w:rPr>
                <w:sz w:val="15"/>
                <w:szCs w:val="15"/>
                <w:color w:val="auto"/>
              </w:rPr>
            </w:pPr>
          </w:p>
        </w:tc>
        <w:tc>
          <w:tcPr>
            <w:tcW w:w="6820" w:type="dxa"/>
            <w:vAlign w:val="bottom"/>
          </w:tcPr>
          <w:p>
            <w:pPr>
              <w:ind w:left="140"/>
              <w:spacing w:after="0"/>
              <w:rPr>
                <w:sz w:val="20"/>
                <w:szCs w:val="20"/>
                <w:color w:val="auto"/>
              </w:rPr>
            </w:pPr>
            <w:r>
              <w:rPr>
                <w:rFonts w:ascii="Courier New" w:cs="Courier New" w:eastAsia="Courier New" w:hAnsi="Courier New"/>
                <w:sz w:val="15"/>
                <w:szCs w:val="15"/>
                <w:color w:val="auto"/>
              </w:rPr>
              <w:t>and December 31, 1996</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352"/>
        </w:trPr>
        <w:tc>
          <w:tcPr>
            <w:tcW w:w="780" w:type="dxa"/>
            <w:vAlign w:val="bottom"/>
          </w:tcPr>
          <w:p>
            <w:pPr>
              <w:spacing w:after="0"/>
              <w:rPr>
                <w:sz w:val="24"/>
                <w:szCs w:val="24"/>
                <w:color w:val="auto"/>
              </w:rPr>
            </w:pPr>
          </w:p>
        </w:tc>
        <w:tc>
          <w:tcPr>
            <w:tcW w:w="6820" w:type="dxa"/>
            <w:vAlign w:val="bottom"/>
          </w:tcPr>
          <w:p>
            <w:pPr>
              <w:ind w:left="140"/>
              <w:spacing w:after="0"/>
              <w:rPr>
                <w:sz w:val="20"/>
                <w:szCs w:val="20"/>
                <w:color w:val="auto"/>
              </w:rPr>
            </w:pPr>
            <w:r>
              <w:rPr>
                <w:rFonts w:ascii="Courier New" w:cs="Courier New" w:eastAsia="Courier New" w:hAnsi="Courier New"/>
                <w:sz w:val="15"/>
                <w:szCs w:val="15"/>
                <w:color w:val="auto"/>
              </w:rPr>
              <w:t>Condensed Consolidated Statements of Operations for the</w:t>
            </w:r>
          </w:p>
        </w:tc>
        <w:tc>
          <w:tcPr>
            <w:tcW w:w="640" w:type="dxa"/>
            <w:vAlign w:val="bottom"/>
          </w:tcPr>
          <w:p>
            <w:pPr>
              <w:spacing w:after="0"/>
              <w:rPr>
                <w:sz w:val="24"/>
                <w:szCs w:val="24"/>
                <w:color w:val="auto"/>
              </w:rPr>
            </w:pPr>
          </w:p>
        </w:tc>
      </w:tr>
      <w:tr>
        <w:trPr>
          <w:trHeight w:val="176"/>
        </w:trPr>
        <w:tc>
          <w:tcPr>
            <w:tcW w:w="780" w:type="dxa"/>
            <w:vAlign w:val="bottom"/>
          </w:tcPr>
          <w:p>
            <w:pPr>
              <w:spacing w:after="0"/>
              <w:rPr>
                <w:sz w:val="15"/>
                <w:szCs w:val="15"/>
                <w:color w:val="auto"/>
              </w:rPr>
            </w:pPr>
          </w:p>
        </w:tc>
        <w:tc>
          <w:tcPr>
            <w:tcW w:w="6820" w:type="dxa"/>
            <w:vAlign w:val="bottom"/>
          </w:tcPr>
          <w:p>
            <w:pPr>
              <w:ind w:left="140"/>
              <w:spacing w:after="0"/>
              <w:rPr>
                <w:sz w:val="20"/>
                <w:szCs w:val="20"/>
                <w:color w:val="auto"/>
              </w:rPr>
            </w:pPr>
            <w:r>
              <w:rPr>
                <w:rFonts w:ascii="Courier New" w:cs="Courier New" w:eastAsia="Courier New" w:hAnsi="Courier New"/>
                <w:sz w:val="15"/>
                <w:szCs w:val="15"/>
                <w:color w:val="auto"/>
              </w:rPr>
              <w:t>three and nine month periods ended September 30, 1997 and 1996</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r>
        <w:trPr>
          <w:trHeight w:val="352"/>
        </w:trPr>
        <w:tc>
          <w:tcPr>
            <w:tcW w:w="780" w:type="dxa"/>
            <w:vAlign w:val="bottom"/>
          </w:tcPr>
          <w:p>
            <w:pPr>
              <w:spacing w:after="0"/>
              <w:rPr>
                <w:sz w:val="24"/>
                <w:szCs w:val="24"/>
                <w:color w:val="auto"/>
              </w:rPr>
            </w:pPr>
          </w:p>
        </w:tc>
        <w:tc>
          <w:tcPr>
            <w:tcW w:w="6820" w:type="dxa"/>
            <w:vAlign w:val="bottom"/>
          </w:tcPr>
          <w:p>
            <w:pPr>
              <w:ind w:left="140"/>
              <w:spacing w:after="0"/>
              <w:rPr>
                <w:sz w:val="20"/>
                <w:szCs w:val="20"/>
                <w:color w:val="auto"/>
              </w:rPr>
            </w:pPr>
            <w:r>
              <w:rPr>
                <w:rFonts w:ascii="Courier New" w:cs="Courier New" w:eastAsia="Courier New" w:hAnsi="Courier New"/>
                <w:sz w:val="15"/>
                <w:szCs w:val="15"/>
                <w:color w:val="auto"/>
              </w:rPr>
              <w:t>Condensed Consolidated Statements of Cash Flow</w:t>
            </w:r>
          </w:p>
        </w:tc>
        <w:tc>
          <w:tcPr>
            <w:tcW w:w="640" w:type="dxa"/>
            <w:vAlign w:val="bottom"/>
          </w:tcPr>
          <w:p>
            <w:pPr>
              <w:spacing w:after="0"/>
              <w:rPr>
                <w:sz w:val="24"/>
                <w:szCs w:val="24"/>
                <w:color w:val="auto"/>
              </w:rPr>
            </w:pPr>
          </w:p>
        </w:tc>
      </w:tr>
      <w:tr>
        <w:trPr>
          <w:trHeight w:val="176"/>
        </w:trPr>
        <w:tc>
          <w:tcPr>
            <w:tcW w:w="780" w:type="dxa"/>
            <w:vAlign w:val="bottom"/>
          </w:tcPr>
          <w:p>
            <w:pPr>
              <w:spacing w:after="0"/>
              <w:rPr>
                <w:sz w:val="15"/>
                <w:szCs w:val="15"/>
                <w:color w:val="auto"/>
              </w:rPr>
            </w:pPr>
          </w:p>
        </w:tc>
        <w:tc>
          <w:tcPr>
            <w:tcW w:w="6820" w:type="dxa"/>
            <w:vAlign w:val="bottom"/>
          </w:tcPr>
          <w:p>
            <w:pPr>
              <w:ind w:left="140"/>
              <w:spacing w:after="0"/>
              <w:rPr>
                <w:sz w:val="20"/>
                <w:szCs w:val="20"/>
                <w:color w:val="auto"/>
              </w:rPr>
            </w:pPr>
            <w:r>
              <w:rPr>
                <w:rFonts w:ascii="Courier New" w:cs="Courier New" w:eastAsia="Courier New" w:hAnsi="Courier New"/>
                <w:sz w:val="15"/>
                <w:szCs w:val="15"/>
                <w:color w:val="auto"/>
              </w:rPr>
              <w:t>for the nine month periods ended September 30, 1997 and 1996</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352"/>
        </w:trPr>
        <w:tc>
          <w:tcPr>
            <w:tcW w:w="780" w:type="dxa"/>
            <w:vAlign w:val="bottom"/>
          </w:tcPr>
          <w:p>
            <w:pPr>
              <w:spacing w:after="0"/>
              <w:rPr>
                <w:sz w:val="24"/>
                <w:szCs w:val="24"/>
                <w:color w:val="auto"/>
              </w:rPr>
            </w:pPr>
          </w:p>
        </w:tc>
        <w:tc>
          <w:tcPr>
            <w:tcW w:w="6820" w:type="dxa"/>
            <w:vAlign w:val="bottom"/>
          </w:tcPr>
          <w:p>
            <w:pPr>
              <w:ind w:left="14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19"/>
          </w:cols>
          <w:pgMar w:left="240" w:top="647" w:right="1440" w:bottom="1440" w:gutter="0" w:footer="0" w:header="0"/>
        </w:sectPr>
      </w:pPr>
    </w:p>
    <w:bookmarkStart w:id="3" w:name="page4"/>
    <w:bookmarkEnd w:id="3"/>
    <w:p>
      <w:pPr>
        <w:ind w:left="3020"/>
        <w:spacing w:after="0"/>
        <w:rPr>
          <w:sz w:val="20"/>
          <w:szCs w:val="20"/>
          <w:color w:val="auto"/>
        </w:rPr>
      </w:pPr>
      <w:r>
        <w:rPr>
          <w:rFonts w:ascii="Courier New" w:cs="Courier New" w:eastAsia="Courier New" w:hAnsi="Courier New"/>
          <w:sz w:val="15"/>
          <w:szCs w:val="15"/>
          <w:color w:val="auto"/>
        </w:rPr>
        <w:t>IMAX CORPORATION</w:t>
      </w:r>
    </w:p>
    <w:p>
      <w:pPr>
        <w:spacing w:after="0" w:line="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6"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5"/>
          <w:szCs w:val="15"/>
          <w:color w:val="auto"/>
        </w:rPr>
        <w:t>Amounts in accordance with U.S. Generally Accepted Accounting Principles</w:t>
      </w:r>
    </w:p>
    <w:p>
      <w:pPr>
        <w:spacing w:after="0" w:line="6"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5"/>
          <w:szCs w:val="15"/>
          <w:color w:val="auto"/>
        </w:rPr>
        <w:t>(in thousands of U.S. dollars)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tcPr>
          <w:p>
            <w:pPr>
              <w:ind w:left="3100"/>
              <w:spacing w:after="0"/>
              <w:rPr>
                <w:sz w:val="20"/>
                <w:szCs w:val="20"/>
                <w:color w:val="auto"/>
              </w:rPr>
            </w:pPr>
            <w:r>
              <w:rPr>
                <w:rFonts w:ascii="Courier New" w:cs="Courier New" w:eastAsia="Courier New" w:hAnsi="Courier New"/>
                <w:sz w:val="15"/>
                <w:szCs w:val="15"/>
                <w:color w:val="auto"/>
              </w:rPr>
              <w:t>(UNAUDITED)</w:t>
            </w:r>
          </w:p>
        </w:tc>
        <w:tc>
          <w:tcPr>
            <w:tcW w:w="28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705"/>
        </w:trPr>
        <w:tc>
          <w:tcPr>
            <w:tcW w:w="6260" w:type="dxa"/>
            <w:vAlign w:val="bottom"/>
          </w:tcPr>
          <w:p>
            <w:pPr>
              <w:spacing w:after="0"/>
              <w:rPr>
                <w:sz w:val="24"/>
                <w:szCs w:val="24"/>
                <w:color w:val="auto"/>
              </w:rPr>
            </w:pPr>
          </w:p>
        </w:tc>
        <w:tc>
          <w:tcPr>
            <w:tcW w:w="2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September 30,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6260" w:type="dxa"/>
            <w:vAlign w:val="bottom"/>
          </w:tcPr>
          <w:p>
            <w:pPr>
              <w:spacing w:after="0"/>
              <w:rPr>
                <w:sz w:val="15"/>
                <w:szCs w:val="15"/>
                <w:color w:val="auto"/>
              </w:rPr>
            </w:pPr>
          </w:p>
        </w:tc>
        <w:tc>
          <w:tcPr>
            <w:tcW w:w="28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r>
      <w:tr>
        <w:trPr>
          <w:trHeight w:val="352"/>
        </w:trPr>
        <w:tc>
          <w:tcPr>
            <w:tcW w:w="62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8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626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$ 72,330</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$102,589</w:t>
            </w:r>
          </w:p>
        </w:tc>
      </w:tr>
      <w:tr>
        <w:trPr>
          <w:trHeight w:val="176"/>
        </w:trPr>
        <w:tc>
          <w:tcPr>
            <w:tcW w:w="6260" w:type="dxa"/>
            <w:vAlign w:val="bottom"/>
          </w:tcPr>
          <w:p>
            <w:pPr>
              <w:ind w:left="180"/>
              <w:spacing w:after="0"/>
              <w:rPr>
                <w:sz w:val="20"/>
                <w:szCs w:val="20"/>
                <w:color w:val="auto"/>
              </w:rPr>
            </w:pPr>
            <w:r>
              <w:rPr>
                <w:rFonts w:ascii="Courier New" w:cs="Courier New" w:eastAsia="Courier New" w:hAnsi="Courier New"/>
                <w:sz w:val="15"/>
                <w:szCs w:val="15"/>
                <w:color w:val="auto"/>
              </w:rPr>
              <w:t>Short-term marketable securities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3,843</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26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31,293</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17,995</w:t>
            </w:r>
          </w:p>
        </w:tc>
      </w:tr>
      <w:tr>
        <w:trPr>
          <w:trHeight w:val="176"/>
        </w:trPr>
        <w:tc>
          <w:tcPr>
            <w:tcW w:w="626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net investment in leases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4,478</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4,218</w:t>
            </w:r>
          </w:p>
        </w:tc>
      </w:tr>
      <w:tr>
        <w:trPr>
          <w:trHeight w:val="176"/>
        </w:trPr>
        <w:tc>
          <w:tcPr>
            <w:tcW w:w="6260" w:type="dxa"/>
            <w:vAlign w:val="bottom"/>
          </w:tcPr>
          <w:p>
            <w:pPr>
              <w:ind w:left="180"/>
              <w:spacing w:after="0"/>
              <w:rPr>
                <w:sz w:val="20"/>
                <w:szCs w:val="20"/>
                <w:color w:val="auto"/>
              </w:rPr>
            </w:pPr>
            <w:r>
              <w:rPr>
                <w:rFonts w:ascii="Courier New" w:cs="Courier New" w:eastAsia="Courier New" w:hAnsi="Courier New"/>
                <w:sz w:val="15"/>
                <w:szCs w:val="15"/>
                <w:color w:val="auto"/>
              </w:rPr>
              <w:t>Inventories and systems under construction (note 2)</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29,858</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21,292</w:t>
            </w:r>
          </w:p>
        </w:tc>
      </w:tr>
      <w:tr>
        <w:trPr>
          <w:trHeight w:val="176"/>
        </w:trPr>
        <w:tc>
          <w:tcPr>
            <w:tcW w:w="626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4,852</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2,109</w:t>
            </w:r>
          </w:p>
        </w:tc>
      </w:tr>
      <w:tr>
        <w:trPr>
          <w:trHeight w:val="176"/>
        </w:trPr>
        <w:tc>
          <w:tcPr>
            <w:tcW w:w="6260" w:type="dxa"/>
            <w:vAlign w:val="bottom"/>
          </w:tcPr>
          <w:p>
            <w:pPr>
              <w:spacing w:after="0"/>
              <w:rPr>
                <w:sz w:val="15"/>
                <w:szCs w:val="15"/>
                <w:color w:val="auto"/>
              </w:rPr>
            </w:pP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260" w:type="dxa"/>
            <w:vAlign w:val="bottom"/>
          </w:tcPr>
          <w:p>
            <w:pPr>
              <w:ind w:left="460"/>
              <w:spacing w:after="0"/>
              <w:rPr>
                <w:sz w:val="20"/>
                <w:szCs w:val="20"/>
                <w:color w:val="auto"/>
              </w:rPr>
            </w:pPr>
            <w:r>
              <w:rPr>
                <w:rFonts w:ascii="Courier New" w:cs="Courier New" w:eastAsia="Courier New" w:hAnsi="Courier New"/>
                <w:sz w:val="15"/>
                <w:szCs w:val="15"/>
                <w:color w:val="auto"/>
              </w:rPr>
              <w:t>Total current assets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146,654</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148,203</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Long-term marketable securities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23,161</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18,099</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Net investment in leases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43,511</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34,494</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Film assets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32,879</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19,050</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Capital assets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45,974</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37,791</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Deferred charges on debt financing</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3,991</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4,653</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44,545</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46,454</w:t>
            </w:r>
          </w:p>
        </w:tc>
      </w:tr>
      <w:tr>
        <w:trPr>
          <w:trHeight w:val="176"/>
        </w:trPr>
        <w:tc>
          <w:tcPr>
            <w:tcW w:w="6260" w:type="dxa"/>
            <w:vAlign w:val="bottom"/>
          </w:tcPr>
          <w:p>
            <w:pPr>
              <w:spacing w:after="0"/>
              <w:rPr>
                <w:sz w:val="15"/>
                <w:szCs w:val="15"/>
                <w:color w:val="auto"/>
              </w:rPr>
            </w:pP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260" w:type="dxa"/>
            <w:vAlign w:val="bottom"/>
          </w:tcPr>
          <w:p>
            <w:pPr>
              <w:ind w:left="460"/>
              <w:spacing w:after="0"/>
              <w:rPr>
                <w:sz w:val="20"/>
                <w:szCs w:val="20"/>
                <w:color w:val="auto"/>
              </w:rPr>
            </w:pPr>
            <w:r>
              <w:rPr>
                <w:rFonts w:ascii="Courier New" w:cs="Courier New" w:eastAsia="Courier New" w:hAnsi="Courier New"/>
                <w:sz w:val="15"/>
                <w:szCs w:val="15"/>
                <w:color w:val="auto"/>
              </w:rPr>
              <w:t>Total assets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$340,715</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$308,744</w:t>
            </w:r>
          </w:p>
        </w:tc>
      </w:tr>
      <w:tr>
        <w:trPr>
          <w:trHeight w:val="176"/>
        </w:trPr>
        <w:tc>
          <w:tcPr>
            <w:tcW w:w="6260" w:type="dxa"/>
            <w:vAlign w:val="bottom"/>
          </w:tcPr>
          <w:p>
            <w:pPr>
              <w:spacing w:after="0"/>
              <w:rPr>
                <w:sz w:val="15"/>
                <w:szCs w:val="15"/>
                <w:color w:val="auto"/>
              </w:rPr>
            </w:pP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2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28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8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626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  6,538</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4,530</w:t>
            </w:r>
          </w:p>
        </w:tc>
      </w:tr>
      <w:tr>
        <w:trPr>
          <w:trHeight w:val="176"/>
        </w:trPr>
        <w:tc>
          <w:tcPr>
            <w:tcW w:w="6260" w:type="dxa"/>
            <w:vAlign w:val="bottom"/>
          </w:tcPr>
          <w:p>
            <w:pPr>
              <w:ind w:left="180"/>
              <w:spacing w:after="0"/>
              <w:rPr>
                <w:sz w:val="20"/>
                <w:szCs w:val="20"/>
                <w:color w:val="auto"/>
              </w:rPr>
            </w:pPr>
            <w:r>
              <w:rPr>
                <w:rFonts w:ascii="Courier New" w:cs="Courier New" w:eastAsia="Courier New" w:hAnsi="Courier New"/>
                <w:sz w:val="15"/>
                <w:szCs w:val="15"/>
                <w:color w:val="auto"/>
              </w:rPr>
              <w:t>Accrued liabilities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18,375</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16,677</w:t>
            </w:r>
          </w:p>
        </w:tc>
      </w:tr>
      <w:tr>
        <w:trPr>
          <w:trHeight w:val="176"/>
        </w:trPr>
        <w:tc>
          <w:tcPr>
            <w:tcW w:w="626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deferred revenue</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37,771</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40,485</w:t>
            </w:r>
          </w:p>
        </w:tc>
      </w:tr>
      <w:tr>
        <w:trPr>
          <w:trHeight w:val="176"/>
        </w:trPr>
        <w:tc>
          <w:tcPr>
            <w:tcW w:w="626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long-term debt</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516</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1,156</w:t>
            </w:r>
          </w:p>
        </w:tc>
      </w:tr>
      <w:tr>
        <w:trPr>
          <w:trHeight w:val="176"/>
        </w:trPr>
        <w:tc>
          <w:tcPr>
            <w:tcW w:w="6260" w:type="dxa"/>
            <w:vAlign w:val="bottom"/>
          </w:tcPr>
          <w:p>
            <w:pPr>
              <w:ind w:left="180"/>
              <w:spacing w:after="0"/>
              <w:rPr>
                <w:sz w:val="20"/>
                <w:szCs w:val="20"/>
                <w:color w:val="auto"/>
              </w:rPr>
            </w:pPr>
            <w:r>
              <w:rPr>
                <w:rFonts w:ascii="Courier New" w:cs="Courier New" w:eastAsia="Courier New" w:hAnsi="Courier New"/>
                <w:sz w:val="15"/>
                <w:szCs w:val="15"/>
                <w:color w:val="auto"/>
              </w:rPr>
              <w:t>Income taxes payable</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1,274</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2,213</w:t>
            </w:r>
          </w:p>
        </w:tc>
      </w:tr>
      <w:tr>
        <w:trPr>
          <w:trHeight w:val="176"/>
        </w:trPr>
        <w:tc>
          <w:tcPr>
            <w:tcW w:w="6260" w:type="dxa"/>
            <w:vAlign w:val="bottom"/>
          </w:tcPr>
          <w:p>
            <w:pPr>
              <w:spacing w:after="0"/>
              <w:rPr>
                <w:sz w:val="15"/>
                <w:szCs w:val="15"/>
                <w:color w:val="auto"/>
              </w:rPr>
            </w:pP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260" w:type="dxa"/>
            <w:vAlign w:val="bottom"/>
          </w:tcPr>
          <w:p>
            <w:pPr>
              <w:ind w:left="460"/>
              <w:spacing w:after="0"/>
              <w:rPr>
                <w:sz w:val="20"/>
                <w:szCs w:val="20"/>
                <w:color w:val="auto"/>
              </w:rPr>
            </w:pPr>
            <w:r>
              <w:rPr>
                <w:rFonts w:ascii="Courier New" w:cs="Courier New" w:eastAsia="Courier New" w:hAnsi="Courier New"/>
                <w:sz w:val="15"/>
                <w:szCs w:val="15"/>
                <w:color w:val="auto"/>
              </w:rPr>
              <w:t>Total current liabilities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64,474</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65,061</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609</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1,178</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Deferred revenue</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20,102</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14,117</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Senior notes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65,000</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64,689</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Convertible subordinated notes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100,000</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100,000</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13,503</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6,081</w:t>
            </w:r>
          </w:p>
        </w:tc>
      </w:tr>
      <w:tr>
        <w:trPr>
          <w:trHeight w:val="176"/>
        </w:trPr>
        <w:tc>
          <w:tcPr>
            <w:tcW w:w="6260" w:type="dxa"/>
            <w:vAlign w:val="bottom"/>
          </w:tcPr>
          <w:p>
            <w:pPr>
              <w:spacing w:after="0"/>
              <w:rPr>
                <w:sz w:val="15"/>
                <w:szCs w:val="15"/>
                <w:color w:val="auto"/>
              </w:rPr>
            </w:pP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260" w:type="dxa"/>
            <w:vAlign w:val="bottom"/>
          </w:tcPr>
          <w:p>
            <w:pPr>
              <w:ind w:left="460"/>
              <w:spacing w:after="0"/>
              <w:rPr>
                <w:sz w:val="20"/>
                <w:szCs w:val="20"/>
                <w:color w:val="auto"/>
              </w:rPr>
            </w:pPr>
            <w:r>
              <w:rPr>
                <w:rFonts w:ascii="Courier New" w:cs="Courier New" w:eastAsia="Courier New" w:hAnsi="Courier New"/>
                <w:sz w:val="15"/>
                <w:szCs w:val="15"/>
                <w:color w:val="auto"/>
              </w:rPr>
              <w:t>Total liabilities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263,688</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251,126</w:t>
            </w:r>
          </w:p>
        </w:tc>
      </w:tr>
      <w:tr>
        <w:trPr>
          <w:trHeight w:val="176"/>
        </w:trPr>
        <w:tc>
          <w:tcPr>
            <w:tcW w:w="6260" w:type="dxa"/>
            <w:vAlign w:val="bottom"/>
          </w:tcPr>
          <w:p>
            <w:pPr>
              <w:spacing w:after="0"/>
              <w:rPr>
                <w:sz w:val="15"/>
                <w:szCs w:val="15"/>
                <w:color w:val="auto"/>
              </w:rPr>
            </w:pP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26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2,437</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1,593</w:t>
            </w:r>
          </w:p>
        </w:tc>
      </w:tr>
      <w:tr>
        <w:trPr>
          <w:trHeight w:val="176"/>
        </w:trPr>
        <w:tc>
          <w:tcPr>
            <w:tcW w:w="6260" w:type="dxa"/>
            <w:vAlign w:val="bottom"/>
          </w:tcPr>
          <w:p>
            <w:pPr>
              <w:spacing w:after="0"/>
              <w:rPr>
                <w:sz w:val="15"/>
                <w:szCs w:val="15"/>
                <w:color w:val="auto"/>
              </w:rPr>
            </w:pP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Redeemable preferred shares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1,302</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1,184</w:t>
            </w:r>
          </w:p>
        </w:tc>
      </w:tr>
      <w:tr>
        <w:trPr>
          <w:trHeight w:val="176"/>
        </w:trPr>
        <w:tc>
          <w:tcPr>
            <w:tcW w:w="6260" w:type="dxa"/>
            <w:vAlign w:val="bottom"/>
          </w:tcPr>
          <w:p>
            <w:pPr>
              <w:spacing w:after="0"/>
              <w:rPr>
                <w:sz w:val="15"/>
                <w:szCs w:val="15"/>
                <w:color w:val="auto"/>
              </w:rPr>
            </w:pP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2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(notes 3 and 4)</w:t>
            </w:r>
          </w:p>
        </w:tc>
        <w:tc>
          <w:tcPr>
            <w:tcW w:w="28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2"/>
        </w:trPr>
        <w:tc>
          <w:tcPr>
            <w:tcW w:w="62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8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Capital stock</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51,839</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46,810</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21,391</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8,307</w:t>
            </w:r>
          </w:p>
        </w:tc>
      </w:tr>
      <w:tr>
        <w:trPr>
          <w:trHeight w:val="176"/>
        </w:trPr>
        <w:tc>
          <w:tcPr>
            <w:tcW w:w="6260" w:type="dxa"/>
            <w:vAlign w:val="bottom"/>
          </w:tcPr>
          <w:p>
            <w:pPr>
              <w:spacing w:after="0"/>
              <w:rPr>
                <w:sz w:val="20"/>
                <w:szCs w:val="20"/>
                <w:color w:val="auto"/>
              </w:rPr>
            </w:pPr>
            <w:r>
              <w:rPr>
                <w:rFonts w:ascii="Courier New" w:cs="Courier New" w:eastAsia="Courier New" w:hAnsi="Courier New"/>
                <w:sz w:val="15"/>
                <w:szCs w:val="15"/>
                <w:color w:val="auto"/>
              </w:rPr>
              <w:t>Cumulative translation adjustment</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(276)</w:t>
            </w:r>
          </w:p>
        </w:tc>
      </w:tr>
      <w:tr>
        <w:trPr>
          <w:trHeight w:val="176"/>
        </w:trPr>
        <w:tc>
          <w:tcPr>
            <w:tcW w:w="6260" w:type="dxa"/>
            <w:vAlign w:val="bottom"/>
          </w:tcPr>
          <w:p>
            <w:pPr>
              <w:spacing w:after="0"/>
              <w:rPr>
                <w:sz w:val="15"/>
                <w:szCs w:val="15"/>
                <w:color w:val="auto"/>
              </w:rPr>
            </w:pP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260" w:type="dxa"/>
            <w:vAlign w:val="bottom"/>
          </w:tcPr>
          <w:p>
            <w:pPr>
              <w:ind w:left="460"/>
              <w:spacing w:after="0"/>
              <w:rPr>
                <w:sz w:val="20"/>
                <w:szCs w:val="20"/>
                <w:color w:val="auto"/>
              </w:rPr>
            </w:pPr>
            <w:r>
              <w:rPr>
                <w:rFonts w:ascii="Courier New" w:cs="Courier New" w:eastAsia="Courier New" w:hAnsi="Courier New"/>
                <w:sz w:val="15"/>
                <w:szCs w:val="15"/>
                <w:color w:val="auto"/>
              </w:rPr>
              <w:t>Total shareholders' equity</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73,288</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54,841</w:t>
            </w:r>
          </w:p>
        </w:tc>
      </w:tr>
      <w:tr>
        <w:trPr>
          <w:trHeight w:val="176"/>
        </w:trPr>
        <w:tc>
          <w:tcPr>
            <w:tcW w:w="6260" w:type="dxa"/>
            <w:vAlign w:val="bottom"/>
          </w:tcPr>
          <w:p>
            <w:pPr>
              <w:spacing w:after="0"/>
              <w:rPr>
                <w:sz w:val="15"/>
                <w:szCs w:val="15"/>
                <w:color w:val="auto"/>
              </w:rPr>
            </w:pP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6260" w:type="dxa"/>
            <w:vAlign w:val="bottom"/>
          </w:tcPr>
          <w:p>
            <w:pPr>
              <w:ind w:left="4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$340,715</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$308,744</w:t>
            </w:r>
          </w:p>
        </w:tc>
      </w:tr>
      <w:tr>
        <w:trPr>
          <w:trHeight w:val="176"/>
        </w:trPr>
        <w:tc>
          <w:tcPr>
            <w:tcW w:w="6260" w:type="dxa"/>
            <w:vAlign w:val="bottom"/>
          </w:tcPr>
          <w:p>
            <w:pPr>
              <w:spacing w:after="0"/>
              <w:rPr>
                <w:sz w:val="15"/>
                <w:szCs w:val="15"/>
                <w:color w:val="auto"/>
              </w:rPr>
            </w:pPr>
          </w:p>
        </w:tc>
        <w:tc>
          <w:tcPr>
            <w:tcW w:w="28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5"/>
          <w:szCs w:val="15"/>
          <w:color w:val="auto"/>
        </w:rPr>
        <w:t>(See accompanying notes to the condensed consolidated financial statements on</w:t>
      </w:r>
    </w:p>
    <w:p>
      <w:pPr>
        <w:spacing w:after="0" w:line="6"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5"/>
          <w:szCs w:val="15"/>
          <w:color w:val="auto"/>
        </w:rPr>
        <w:t>pages 7 to 9.)</w:t>
      </w:r>
    </w:p>
    <w:p>
      <w:pPr>
        <w:spacing w:after="0" w:line="35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340"/>
          </w:cols>
          <w:pgMar w:left="240" w:top="647" w:right="1319" w:bottom="1440" w:gutter="0" w:footer="0" w:header="0"/>
        </w:sectPr>
      </w:pPr>
    </w:p>
    <w:bookmarkStart w:id="4" w:name="page5"/>
    <w:bookmarkEnd w:id="4"/>
    <w:p>
      <w:pPr>
        <w:jc w:val="center"/>
        <w:ind w:right="4200"/>
        <w:spacing w:after="0"/>
        <w:rPr>
          <w:sz w:val="20"/>
          <w:szCs w:val="20"/>
          <w:color w:val="auto"/>
        </w:rPr>
      </w:pPr>
      <w:r>
        <w:rPr>
          <w:rFonts w:ascii="Courier New" w:cs="Courier New" w:eastAsia="Courier New" w:hAnsi="Courier New"/>
          <w:sz w:val="15"/>
          <w:szCs w:val="15"/>
          <w:color w:val="auto"/>
        </w:rPr>
        <w:t>IMAX CORPORATION</w:t>
      </w:r>
    </w:p>
    <w:p>
      <w:pPr>
        <w:spacing w:after="0" w:line="6" w:lineRule="exact"/>
        <w:rPr>
          <w:sz w:val="20"/>
          <w:szCs w:val="20"/>
          <w:color w:val="auto"/>
        </w:rPr>
      </w:pPr>
    </w:p>
    <w:p>
      <w:pPr>
        <w:jc w:val="center"/>
        <w:ind w:right="4200"/>
        <w:spacing w:after="0"/>
        <w:tabs>
          <w:tab w:leader="none" w:pos="160" w:val="left"/>
        </w:tabs>
        <w:rPr>
          <w:sz w:val="20"/>
          <w:szCs w:val="20"/>
          <w:color w:val="auto"/>
        </w:rPr>
      </w:pPr>
      <w:r>
        <w:rPr>
          <w:rFonts w:ascii="Courier New" w:cs="Courier New" w:eastAsia="Courier New" w:hAnsi="Courier New"/>
          <w:sz w:val="15"/>
          <w:szCs w:val="15"/>
          <w:color w:val="auto"/>
        </w:rPr>
        <w:t>CONDENSED CONSOLIDATED</w:t>
        <w:tab/>
        <w:t>STATEMENTS OF OPERATIONS</w:t>
      </w:r>
    </w:p>
    <w:p>
      <w:pPr>
        <w:spacing w:after="0" w:line="6"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Amounts in accordance with U.S. Generally Accepted Accounting Principles</w:t>
      </w:r>
    </w:p>
    <w:p>
      <w:pPr>
        <w:spacing w:after="0" w:line="6"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(in thousands of U.S. dollars, except per share data)</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3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Three months ended September 30,</w:t>
            </w:r>
          </w:p>
        </w:tc>
        <w:tc>
          <w:tcPr>
            <w:tcW w:w="3180" w:type="dxa"/>
            <w:vAlign w:val="bottom"/>
            <w:gridSpan w:val="2"/>
          </w:tcPr>
          <w:p>
            <w:pPr>
              <w:jc w:val="right"/>
              <w:ind w:right="84"/>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6"/>
        </w:trPr>
        <w:tc>
          <w:tcPr>
            <w:tcW w:w="5040" w:type="dxa"/>
            <w:vAlign w:val="bottom"/>
          </w:tcPr>
          <w:p>
            <w:pPr>
              <w:spacing w:after="0"/>
              <w:rPr>
                <w:sz w:val="15"/>
                <w:szCs w:val="15"/>
                <w:color w:val="auto"/>
              </w:rPr>
            </w:pPr>
          </w:p>
        </w:tc>
        <w:tc>
          <w:tcPr>
            <w:tcW w:w="16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6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1996</w:t>
            </w:r>
          </w:p>
        </w:tc>
        <w:tc>
          <w:tcPr>
            <w:tcW w:w="15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1997</w:t>
            </w:r>
          </w:p>
        </w:tc>
        <w:tc>
          <w:tcPr>
            <w:tcW w:w="16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5040" w:type="dxa"/>
            <w:vAlign w:val="bottom"/>
          </w:tcPr>
          <w:p>
            <w:pPr>
              <w:spacing w:after="0"/>
              <w:rPr>
                <w:sz w:val="15"/>
                <w:szCs w:val="15"/>
                <w:color w:val="auto"/>
              </w:rPr>
            </w:pP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Systems</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$22,477</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$24,355</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$ 60,456</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$60,286</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Films</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10,521</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5,907</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33,468</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21,641</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2,893</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2,824</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9,949</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10,177</w:t>
            </w:r>
          </w:p>
        </w:tc>
      </w:tr>
      <w:tr>
        <w:trPr>
          <w:trHeight w:val="176"/>
        </w:trPr>
        <w:tc>
          <w:tcPr>
            <w:tcW w:w="5040" w:type="dxa"/>
            <w:vAlign w:val="bottom"/>
          </w:tcPr>
          <w:p>
            <w:pPr>
              <w:spacing w:after="0"/>
              <w:rPr>
                <w:sz w:val="15"/>
                <w:szCs w:val="15"/>
                <w:color w:val="auto"/>
              </w:rPr>
            </w:pP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15"/>
                <w:szCs w:val="15"/>
                <w:color w:val="auto"/>
              </w:rPr>
            </w:pP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35,891</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33,086</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103,873</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92,104</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15,558</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13,988</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47,949</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41,523</w:t>
            </w:r>
          </w:p>
        </w:tc>
      </w:tr>
      <w:tr>
        <w:trPr>
          <w:trHeight w:val="176"/>
        </w:trPr>
        <w:tc>
          <w:tcPr>
            <w:tcW w:w="5040" w:type="dxa"/>
            <w:vAlign w:val="bottom"/>
          </w:tcPr>
          <w:p>
            <w:pPr>
              <w:spacing w:after="0"/>
              <w:rPr>
                <w:sz w:val="15"/>
                <w:szCs w:val="15"/>
                <w:color w:val="auto"/>
              </w:rPr>
            </w:pP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20,333</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19,098</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55,924</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50,581</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6,880</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7,179</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21,569</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20,530</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620</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565</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1,429</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1,916</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Amortization of intangibles</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632</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635</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1,907</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1,906</w:t>
            </w:r>
          </w:p>
        </w:tc>
      </w:tr>
      <w:tr>
        <w:trPr>
          <w:trHeight w:val="176"/>
        </w:trPr>
        <w:tc>
          <w:tcPr>
            <w:tcW w:w="5040" w:type="dxa"/>
            <w:vAlign w:val="bottom"/>
          </w:tcPr>
          <w:p>
            <w:pPr>
              <w:spacing w:after="0"/>
              <w:rPr>
                <w:sz w:val="15"/>
                <w:szCs w:val="15"/>
                <w:color w:val="auto"/>
              </w:rPr>
            </w:pP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EARNINGS FROM OPERATIONS</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12,201</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10,719</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31,019</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26,229</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1,645</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1,605</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4,485</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3,713</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(3,340)</w:t>
            </w:r>
          </w:p>
        </w:tc>
        <w:tc>
          <w:tcPr>
            <w:tcW w:w="1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(3,350)</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(9,972)</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(8,453)</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Foreign exchange gain (loss)</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67</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(281)</w:t>
            </w:r>
          </w:p>
        </w:tc>
      </w:tr>
      <w:tr>
        <w:trPr>
          <w:trHeight w:val="176"/>
        </w:trPr>
        <w:tc>
          <w:tcPr>
            <w:tcW w:w="5040" w:type="dxa"/>
            <w:vAlign w:val="bottom"/>
          </w:tcPr>
          <w:p>
            <w:pPr>
              <w:spacing w:after="0"/>
              <w:rPr>
                <w:sz w:val="15"/>
                <w:szCs w:val="15"/>
                <w:color w:val="auto"/>
              </w:rPr>
            </w:pP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EARNINGS BEFORE INCOME TAXES AND MINORITY INTEREST</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10,408</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9,041</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25,456</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21,208</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(4,536)</w:t>
            </w:r>
          </w:p>
        </w:tc>
        <w:tc>
          <w:tcPr>
            <w:tcW w:w="1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(4,242)</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(11,281)</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(9,737)</w:t>
            </w:r>
          </w:p>
        </w:tc>
      </w:tr>
      <w:tr>
        <w:trPr>
          <w:trHeight w:val="176"/>
        </w:trPr>
        <w:tc>
          <w:tcPr>
            <w:tcW w:w="5040" w:type="dxa"/>
            <w:vAlign w:val="bottom"/>
          </w:tcPr>
          <w:p>
            <w:pPr>
              <w:spacing w:after="0"/>
              <w:rPr>
                <w:sz w:val="15"/>
                <w:szCs w:val="15"/>
                <w:color w:val="auto"/>
              </w:rPr>
            </w:pP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EARNINGS BEFORE MINORITY INTEREST</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5,872</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4,799</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14,175</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11,471</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(387)</w:t>
            </w:r>
          </w:p>
        </w:tc>
        <w:tc>
          <w:tcPr>
            <w:tcW w:w="1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(555)</w:t>
            </w:r>
          </w:p>
        </w:tc>
        <w:tc>
          <w:tcPr>
            <w:tcW w:w="1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(844)</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(965)</w:t>
            </w:r>
          </w:p>
        </w:tc>
      </w:tr>
      <w:tr>
        <w:trPr>
          <w:trHeight w:val="176"/>
        </w:trPr>
        <w:tc>
          <w:tcPr>
            <w:tcW w:w="5040" w:type="dxa"/>
            <w:vAlign w:val="bottom"/>
          </w:tcPr>
          <w:p>
            <w:pPr>
              <w:spacing w:after="0"/>
              <w:rPr>
                <w:sz w:val="15"/>
                <w:szCs w:val="15"/>
                <w:color w:val="auto"/>
              </w:rPr>
            </w:pP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$ 5,485</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$ 4,244</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$ 13,331</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$10,506</w:t>
            </w:r>
          </w:p>
        </w:tc>
      </w:tr>
      <w:tr>
        <w:trPr>
          <w:trHeight w:val="176"/>
        </w:trPr>
        <w:tc>
          <w:tcPr>
            <w:tcW w:w="5040" w:type="dxa"/>
            <w:vAlign w:val="bottom"/>
          </w:tcPr>
          <w:p>
            <w:pPr>
              <w:spacing w:after="0"/>
              <w:rPr>
                <w:sz w:val="15"/>
                <w:szCs w:val="15"/>
                <w:color w:val="auto"/>
              </w:rPr>
            </w:pP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earnings available to common shareholders</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$ 5,401</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$ 4,166</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$ 13,084</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$10,275</w:t>
            </w:r>
          </w:p>
        </w:tc>
      </w:tr>
      <w:tr>
        <w:trPr>
          <w:trHeight w:val="176"/>
        </w:trPr>
        <w:tc>
          <w:tcPr>
            <w:tcW w:w="5040" w:type="dxa"/>
            <w:vAlign w:val="bottom"/>
          </w:tcPr>
          <w:p>
            <w:pPr>
              <w:spacing w:after="0"/>
              <w:rPr>
                <w:sz w:val="15"/>
                <w:szCs w:val="15"/>
                <w:color w:val="auto"/>
              </w:rPr>
            </w:pP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PER SHARE DATA (NOTE 5)</w:t>
            </w: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$0.18</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$0.14</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$0.44</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$0.34</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outstanding (000's)</w:t>
            </w:r>
          </w:p>
        </w:tc>
        <w:tc>
          <w:tcPr>
            <w:tcW w:w="1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30,380</w:t>
            </w:r>
          </w:p>
        </w:tc>
        <w:tc>
          <w:tcPr>
            <w:tcW w:w="16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29,654</w:t>
            </w: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30,064</w:t>
            </w:r>
          </w:p>
        </w:tc>
        <w:tc>
          <w:tcPr>
            <w:tcW w:w="1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29,978</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(See accompanying notes to the condensed consolidated financial statements on</w:t>
      </w:r>
    </w:p>
    <w:p>
      <w:pPr>
        <w:spacing w:after="0" w:line="6"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pages 7 to 9.)</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1520"/>
          </w:cols>
          <w:pgMar w:left="240" w:top="647" w:right="139" w:bottom="1440" w:gutter="0" w:footer="0" w:header="0"/>
        </w:sectPr>
      </w:pPr>
    </w:p>
    <w:bookmarkStart w:id="5" w:name="page6"/>
    <w:bookmarkEnd w:id="5"/>
    <w:p>
      <w:pPr>
        <w:jc w:val="center"/>
        <w:ind w:right="2899"/>
        <w:spacing w:after="0"/>
        <w:rPr>
          <w:sz w:val="20"/>
          <w:szCs w:val="20"/>
          <w:color w:val="auto"/>
        </w:rPr>
      </w:pPr>
      <w:r>
        <w:rPr>
          <w:rFonts w:ascii="Courier New" w:cs="Courier New" w:eastAsia="Courier New" w:hAnsi="Courier New"/>
          <w:sz w:val="15"/>
          <w:szCs w:val="15"/>
          <w:color w:val="auto"/>
        </w:rPr>
        <w:t>IMAX CORPORATION</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CONDENSED CONSOLIDATED STATEMENTS OF CASH FLOW</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Amounts in accordance with U.S. Generally Accepted Accounting Principles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 thousands of U.S. dollars)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ind w:left="3100"/>
              <w:spacing w:after="0"/>
              <w:rPr>
                <w:sz w:val="20"/>
                <w:szCs w:val="20"/>
                <w:color w:val="auto"/>
              </w:rPr>
            </w:pPr>
            <w:r>
              <w:rPr>
                <w:rFonts w:ascii="Courier New" w:cs="Courier New" w:eastAsia="Courier New" w:hAnsi="Courier New"/>
                <w:sz w:val="15"/>
                <w:szCs w:val="15"/>
                <w:color w:val="auto"/>
              </w:rPr>
              <w:t>(UNAUDITED)</w:t>
            </w:r>
          </w:p>
        </w:tc>
        <w:tc>
          <w:tcPr>
            <w:tcW w:w="206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881"/>
        </w:trPr>
        <w:tc>
          <w:tcPr>
            <w:tcW w:w="5620" w:type="dxa"/>
            <w:vAlign w:val="bottom"/>
          </w:tcPr>
          <w:p>
            <w:pPr>
              <w:spacing w:after="0"/>
              <w:rPr>
                <w:sz w:val="24"/>
                <w:szCs w:val="24"/>
                <w:color w:val="auto"/>
              </w:rPr>
            </w:pPr>
          </w:p>
        </w:tc>
        <w:tc>
          <w:tcPr>
            <w:tcW w:w="3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Nine months ended September 30,</w:t>
            </w:r>
          </w:p>
        </w:tc>
      </w:tr>
      <w:tr>
        <w:trPr>
          <w:trHeight w:val="176"/>
        </w:trPr>
        <w:tc>
          <w:tcPr>
            <w:tcW w:w="5620" w:type="dxa"/>
            <w:vAlign w:val="bottom"/>
          </w:tcPr>
          <w:p>
            <w:pPr>
              <w:spacing w:after="0"/>
              <w:rPr>
                <w:sz w:val="15"/>
                <w:szCs w:val="15"/>
                <w:color w:val="auto"/>
              </w:rPr>
            </w:pPr>
          </w:p>
        </w:tc>
        <w:tc>
          <w:tcPr>
            <w:tcW w:w="2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5620" w:type="dxa"/>
            <w:vAlign w:val="bottom"/>
          </w:tcPr>
          <w:p>
            <w:pPr>
              <w:spacing w:after="0"/>
              <w:rPr>
                <w:sz w:val="15"/>
                <w:szCs w:val="15"/>
                <w:color w:val="auto"/>
              </w:rPr>
            </w:pPr>
          </w:p>
        </w:tc>
        <w:tc>
          <w:tcPr>
            <w:tcW w:w="2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PROVIDED BY (USED IN):</w:t>
            </w: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$ 13,331</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$ 10,506</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Items not involving cash:</w:t>
            </w:r>
          </w:p>
        </w:tc>
        <w:tc>
          <w:tcPr>
            <w:tcW w:w="20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9,926</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8,168</w:t>
            </w: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Deferred income taxes</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8,024</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7,077</w:t>
            </w: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Minority interest</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844</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965</w:t>
            </w: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discount on senior notes</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311</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1,398</w:t>
            </w: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377</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Change in net investment in leases</w:t>
            </w:r>
          </w:p>
        </w:tc>
        <w:tc>
          <w:tcPr>
            <w:tcW w:w="2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(9,261)</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(8,687)</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Change in deferred revenue</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3,270</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(1,346)</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Changes in non-cash operating assets and liabilities</w:t>
            </w:r>
          </w:p>
        </w:tc>
        <w:tc>
          <w:tcPr>
            <w:tcW w:w="2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(22,832)</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(11,545)</w:t>
            </w:r>
          </w:p>
        </w:tc>
      </w:tr>
      <w:tr>
        <w:trPr>
          <w:trHeight w:val="176"/>
        </w:trPr>
        <w:tc>
          <w:tcPr>
            <w:tcW w:w="5620" w:type="dxa"/>
            <w:vAlign w:val="bottom"/>
          </w:tcPr>
          <w:p>
            <w:pPr>
              <w:spacing w:after="0"/>
              <w:rPr>
                <w:sz w:val="15"/>
                <w:szCs w:val="15"/>
                <w:color w:val="auto"/>
              </w:rPr>
            </w:pP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3,728</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6,913</w:t>
            </w:r>
          </w:p>
        </w:tc>
      </w:tr>
      <w:tr>
        <w:trPr>
          <w:trHeight w:val="176"/>
        </w:trPr>
        <w:tc>
          <w:tcPr>
            <w:tcW w:w="5620" w:type="dxa"/>
            <w:vAlign w:val="bottom"/>
          </w:tcPr>
          <w:p>
            <w:pPr>
              <w:spacing w:after="0"/>
              <w:rPr>
                <w:sz w:val="15"/>
                <w:szCs w:val="15"/>
                <w:color w:val="auto"/>
              </w:rPr>
            </w:pP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Increase in marketable securities</w:t>
            </w:r>
          </w:p>
        </w:tc>
        <w:tc>
          <w:tcPr>
            <w:tcW w:w="2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(8,803)</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(66,069)</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Purchase of capital assets</w:t>
            </w:r>
          </w:p>
        </w:tc>
        <w:tc>
          <w:tcPr>
            <w:tcW w:w="2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(12,082)</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(9,491)</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Increase in film assets</w:t>
            </w:r>
          </w:p>
        </w:tc>
        <w:tc>
          <w:tcPr>
            <w:tcW w:w="2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(17,137)</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(8,896)</w:t>
            </w:r>
          </w:p>
        </w:tc>
      </w:tr>
      <w:tr>
        <w:trPr>
          <w:trHeight w:val="176"/>
        </w:trPr>
        <w:tc>
          <w:tcPr>
            <w:tcW w:w="5620" w:type="dxa"/>
            <w:vAlign w:val="bottom"/>
          </w:tcPr>
          <w:p>
            <w:pPr>
              <w:spacing w:after="0"/>
              <w:rPr>
                <w:sz w:val="15"/>
                <w:szCs w:val="15"/>
                <w:color w:val="auto"/>
              </w:rPr>
            </w:pP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(38,022)</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(84,456)</w:t>
            </w:r>
          </w:p>
        </w:tc>
      </w:tr>
      <w:tr>
        <w:trPr>
          <w:trHeight w:val="176"/>
        </w:trPr>
        <w:tc>
          <w:tcPr>
            <w:tcW w:w="5620" w:type="dxa"/>
            <w:vAlign w:val="bottom"/>
          </w:tcPr>
          <w:p>
            <w:pPr>
              <w:spacing w:after="0"/>
              <w:rPr>
                <w:sz w:val="15"/>
                <w:szCs w:val="15"/>
                <w:color w:val="auto"/>
              </w:rPr>
            </w:pP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0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Repayment of long-term debt</w:t>
            </w:r>
          </w:p>
        </w:tc>
        <w:tc>
          <w:tcPr>
            <w:tcW w:w="2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(1,201)</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(547)</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Issue of convertible subordinated notes</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100,000</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Repurchase of senior notes</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(4,919)</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Deferred charges on debt financing</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(3,289)</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Common shares repurchased</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(19,508)</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Common shares issued</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4,993</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1,417</w:t>
            </w:r>
          </w:p>
        </w:tc>
      </w:tr>
      <w:tr>
        <w:trPr>
          <w:trHeight w:val="176"/>
        </w:trPr>
        <w:tc>
          <w:tcPr>
            <w:tcW w:w="5620" w:type="dxa"/>
            <w:vAlign w:val="bottom"/>
          </w:tcPr>
          <w:p>
            <w:pPr>
              <w:spacing w:after="0"/>
              <w:rPr>
                <w:sz w:val="15"/>
                <w:szCs w:val="15"/>
                <w:color w:val="auto"/>
              </w:rPr>
            </w:pP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3,792</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73,154</w:t>
            </w:r>
          </w:p>
        </w:tc>
      </w:tr>
      <w:tr>
        <w:trPr>
          <w:trHeight w:val="176"/>
        </w:trPr>
        <w:tc>
          <w:tcPr>
            <w:tcW w:w="5620" w:type="dxa"/>
            <w:vAlign w:val="bottom"/>
          </w:tcPr>
          <w:p>
            <w:pPr>
              <w:spacing w:after="0"/>
              <w:rPr>
                <w:sz w:val="15"/>
                <w:szCs w:val="15"/>
                <w:color w:val="auto"/>
              </w:rPr>
            </w:pP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243</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6"/>
        </w:trPr>
        <w:tc>
          <w:tcPr>
            <w:tcW w:w="5620" w:type="dxa"/>
            <w:vAlign w:val="bottom"/>
          </w:tcPr>
          <w:p>
            <w:pPr>
              <w:spacing w:after="0"/>
              <w:rPr>
                <w:sz w:val="15"/>
                <w:szCs w:val="15"/>
                <w:color w:val="auto"/>
              </w:rPr>
            </w:pP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DECREASE IN CASH AND CASH EQUIVALENTS DURING THE PERIOD</w:t>
            </w:r>
          </w:p>
        </w:tc>
        <w:tc>
          <w:tcPr>
            <w:tcW w:w="2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(30,259)</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(4,462)</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102,589</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50,747</w:t>
            </w:r>
          </w:p>
        </w:tc>
      </w:tr>
      <w:tr>
        <w:trPr>
          <w:trHeight w:val="176"/>
        </w:trPr>
        <w:tc>
          <w:tcPr>
            <w:tcW w:w="5620" w:type="dxa"/>
            <w:vAlign w:val="bottom"/>
          </w:tcPr>
          <w:p>
            <w:pPr>
              <w:spacing w:after="0"/>
              <w:rPr>
                <w:sz w:val="15"/>
                <w:szCs w:val="15"/>
                <w:color w:val="auto"/>
              </w:rPr>
            </w:pP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$ 72,330</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$ 46,285</w:t>
            </w:r>
          </w:p>
        </w:tc>
      </w:tr>
      <w:tr>
        <w:trPr>
          <w:trHeight w:val="176"/>
        </w:trPr>
        <w:tc>
          <w:tcPr>
            <w:tcW w:w="5620" w:type="dxa"/>
            <w:vAlign w:val="bottom"/>
          </w:tcPr>
          <w:p>
            <w:pPr>
              <w:spacing w:after="0"/>
              <w:rPr>
                <w:sz w:val="15"/>
                <w:szCs w:val="15"/>
                <w:color w:val="auto"/>
              </w:rPr>
            </w:pPr>
          </w:p>
        </w:tc>
        <w:tc>
          <w:tcPr>
            <w:tcW w:w="2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(See accompanying notes to the condensed consolidated financial statements on</w:t>
      </w:r>
    </w:p>
    <w:p>
      <w:pPr>
        <w:spacing w:after="0" w:line="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pages 7 to 9.)</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19"/>
          </w:cols>
          <w:pgMar w:left="240" w:top="647" w:right="1440" w:bottom="1440" w:gutter="0" w:footer="0" w:header="0"/>
        </w:sectPr>
      </w:pPr>
    </w:p>
    <w:bookmarkStart w:id="6" w:name="page7"/>
    <w:bookmarkEnd w:id="6"/>
    <w:p>
      <w:pPr>
        <w:jc w:val="center"/>
        <w:ind w:right="3073"/>
        <w:spacing w:after="0"/>
        <w:rPr>
          <w:sz w:val="20"/>
          <w:szCs w:val="20"/>
          <w:color w:val="auto"/>
        </w:rPr>
      </w:pPr>
      <w:r>
        <w:rPr>
          <w:rFonts w:ascii="Courier New" w:cs="Courier New" w:eastAsia="Courier New" w:hAnsi="Courier New"/>
          <w:sz w:val="15"/>
          <w:szCs w:val="15"/>
          <w:color w:val="auto"/>
        </w:rPr>
        <w:t>IMAX CORPORATION</w:t>
      </w:r>
    </w:p>
    <w:p>
      <w:pPr>
        <w:spacing w:after="0" w:line="6" w:lineRule="exact"/>
        <w:rPr>
          <w:sz w:val="20"/>
          <w:szCs w:val="20"/>
          <w:color w:val="auto"/>
        </w:rPr>
      </w:pPr>
    </w:p>
    <w:p>
      <w:pPr>
        <w:jc w:val="center"/>
        <w:ind w:right="3073"/>
        <w:spacing w:after="0"/>
        <w:rPr>
          <w:sz w:val="20"/>
          <w:szCs w:val="20"/>
          <w:color w:val="auto"/>
        </w:rPr>
      </w:pPr>
      <w:r>
        <w:rPr>
          <w:rFonts w:ascii="Courier New" w:cs="Courier New" w:eastAsia="Courier New" w:hAnsi="Courier New"/>
          <w:sz w:val="15"/>
          <w:szCs w:val="15"/>
          <w:color w:val="auto"/>
        </w:rPr>
        <w:t>NOTES TO CONDENSED CONSOLIDATED FINANCIAL STATEMENTS</w:t>
      </w:r>
    </w:p>
    <w:p>
      <w:pPr>
        <w:spacing w:after="0" w:line="6" w:lineRule="exact"/>
        <w:rPr>
          <w:sz w:val="20"/>
          <w:szCs w:val="20"/>
          <w:color w:val="auto"/>
        </w:rPr>
      </w:pPr>
    </w:p>
    <w:p>
      <w:pPr>
        <w:jc w:val="center"/>
        <w:ind w:right="3073"/>
        <w:spacing w:after="0"/>
        <w:rPr>
          <w:sz w:val="20"/>
          <w:szCs w:val="20"/>
          <w:color w:val="auto"/>
        </w:rPr>
      </w:pPr>
      <w:r>
        <w:rPr>
          <w:rFonts w:ascii="Courier New" w:cs="Courier New" w:eastAsia="Courier New" w:hAnsi="Courier New"/>
          <w:sz w:val="15"/>
          <w:szCs w:val="15"/>
          <w:color w:val="auto"/>
        </w:rPr>
        <w:t>FOR THE NINE MONTH PERIODS ENDED SEPTEMBER 30, 1997 AND 1996</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(UNAUDITED)</w:t>
      </w:r>
    </w:p>
    <w:p>
      <w:pPr>
        <w:spacing w:after="0" w:line="182" w:lineRule="exact"/>
        <w:rPr>
          <w:sz w:val="20"/>
          <w:szCs w:val="20"/>
          <w:color w:val="auto"/>
        </w:rPr>
      </w:pPr>
    </w:p>
    <w:p>
      <w:pPr>
        <w:ind w:left="466" w:hanging="466"/>
        <w:spacing w:after="0"/>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82"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Imax Corporation and its wholly-owned and majority owned subsidiaries. The results of operations for the interim periods shown in this report are not necessarily indicative of results to be expected for the fiscal year. In the opinion of management, the information contained herein reflects all adjustments necessary to make the results of operations for the interim periods a fair statement of such operations. All such adjustments are of a normal recurring nature.</w:t>
      </w:r>
    </w:p>
    <w:p>
      <w:pPr>
        <w:spacing w:after="0" w:line="175" w:lineRule="exact"/>
        <w:rPr>
          <w:rFonts w:ascii="Courier New" w:cs="Courier New" w:eastAsia="Courier New" w:hAnsi="Courier New"/>
          <w:sz w:val="15"/>
          <w:szCs w:val="15"/>
          <w:color w:val="auto"/>
        </w:rPr>
      </w:pPr>
    </w:p>
    <w:p>
      <w:pPr>
        <w:ind w:left="466" w:right="2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financial statements should be read in conjunction with the Company's annual report on Form 10-K and the financial statements contained therein.</w:t>
      </w:r>
    </w:p>
    <w:p>
      <w:pPr>
        <w:spacing w:after="0" w:line="174"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AND SYSTEMS UNDER CONSTRUCTION: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September 30,</w:t>
            </w:r>
          </w:p>
        </w:tc>
        <w:tc>
          <w:tcPr>
            <w:tcW w:w="16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3840" w:type="dxa"/>
            <w:vAlign w:val="bottom"/>
          </w:tcPr>
          <w:p>
            <w:pPr>
              <w:spacing w:after="0"/>
              <w:rPr>
                <w:sz w:val="15"/>
                <w:szCs w:val="15"/>
                <w:color w:val="auto"/>
              </w:rPr>
            </w:pPr>
          </w:p>
        </w:tc>
        <w:tc>
          <w:tcPr>
            <w:tcW w:w="284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1997</w:t>
            </w:r>
          </w:p>
        </w:tc>
        <w:tc>
          <w:tcPr>
            <w:tcW w:w="1660" w:type="dxa"/>
            <w:vAlign w:val="bottom"/>
          </w:tcPr>
          <w:p>
            <w:pPr>
              <w:jc w:val="right"/>
              <w:ind w:right="584"/>
              <w:spacing w:after="0"/>
              <w:rPr>
                <w:sz w:val="20"/>
                <w:szCs w:val="20"/>
                <w:color w:val="auto"/>
              </w:rPr>
            </w:pPr>
            <w:r>
              <w:rPr>
                <w:rFonts w:ascii="Courier New" w:cs="Courier New" w:eastAsia="Courier New" w:hAnsi="Courier New"/>
                <w:sz w:val="15"/>
                <w:szCs w:val="15"/>
                <w:color w:val="auto"/>
              </w:rPr>
              <w:t>1996</w:t>
            </w:r>
          </w:p>
        </w:tc>
      </w:tr>
      <w:tr>
        <w:trPr>
          <w:trHeight w:val="176"/>
        </w:trPr>
        <w:tc>
          <w:tcPr>
            <w:tcW w:w="3840" w:type="dxa"/>
            <w:vAlign w:val="bottom"/>
          </w:tcPr>
          <w:p>
            <w:pPr>
              <w:spacing w:after="0"/>
              <w:rPr>
                <w:sz w:val="15"/>
                <w:szCs w:val="15"/>
                <w:color w:val="auto"/>
              </w:rPr>
            </w:pPr>
          </w:p>
        </w:tc>
        <w:tc>
          <w:tcPr>
            <w:tcW w:w="2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15"/>
                <w:szCs w:val="15"/>
                <w:color w:val="auto"/>
              </w:rPr>
            </w:pPr>
          </w:p>
        </w:tc>
        <w:tc>
          <w:tcPr>
            <w:tcW w:w="2840" w:type="dxa"/>
            <w:vAlign w:val="bottom"/>
          </w:tcPr>
          <w:p>
            <w:pPr>
              <w:jc w:val="center"/>
              <w:ind w:left="1044"/>
              <w:spacing w:after="0"/>
              <w:rPr>
                <w:sz w:val="20"/>
                <w:szCs w:val="20"/>
                <w:color w:val="auto"/>
              </w:rPr>
            </w:pPr>
            <w:r>
              <w:rPr>
                <w:rFonts w:ascii="Courier New" w:cs="Courier New" w:eastAsia="Courier New" w:hAnsi="Courier New"/>
                <w:sz w:val="15"/>
                <w:szCs w:val="15"/>
                <w:color w:val="auto"/>
              </w:rPr>
              <w:t>(000's)</w:t>
            </w:r>
          </w:p>
        </w:tc>
        <w:tc>
          <w:tcPr>
            <w:tcW w:w="1660" w:type="dxa"/>
            <w:vAlign w:val="bottom"/>
          </w:tcPr>
          <w:p>
            <w:pPr>
              <w:jc w:val="center"/>
              <w:ind w:left="24"/>
              <w:spacing w:after="0"/>
              <w:rPr>
                <w:sz w:val="20"/>
                <w:szCs w:val="20"/>
                <w:color w:val="auto"/>
              </w:rPr>
            </w:pPr>
            <w:r>
              <w:rPr>
                <w:rFonts w:ascii="Courier New" w:cs="Courier New" w:eastAsia="Courier New" w:hAnsi="Courier New"/>
                <w:sz w:val="15"/>
                <w:szCs w:val="15"/>
                <w:color w:val="auto"/>
              </w:rPr>
              <w:t>(000's)</w:t>
            </w:r>
          </w:p>
        </w:tc>
      </w:tr>
      <w:tr>
        <w:trPr>
          <w:trHeight w:val="529"/>
        </w:trPr>
        <w:tc>
          <w:tcPr>
            <w:tcW w:w="38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$ 7,260</w:t>
            </w:r>
          </w:p>
        </w:tc>
        <w:tc>
          <w:tcPr>
            <w:tcW w:w="1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$ 4,840</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2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22,128</w:t>
            </w:r>
          </w:p>
        </w:tc>
        <w:tc>
          <w:tcPr>
            <w:tcW w:w="1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15,008</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470</w:t>
            </w:r>
          </w:p>
        </w:tc>
        <w:tc>
          <w:tcPr>
            <w:tcW w:w="1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417</w:t>
            </w:r>
          </w:p>
        </w:tc>
      </w:tr>
      <w:tr>
        <w:trPr>
          <w:trHeight w:val="176"/>
        </w:trPr>
        <w:tc>
          <w:tcPr>
            <w:tcW w:w="3840" w:type="dxa"/>
            <w:vAlign w:val="bottom"/>
          </w:tcPr>
          <w:p>
            <w:pPr>
              <w:spacing w:after="0"/>
              <w:rPr>
                <w:sz w:val="20"/>
                <w:szCs w:val="20"/>
                <w:color w:val="auto"/>
              </w:rPr>
            </w:pPr>
            <w:r>
              <w:rPr>
                <w:rFonts w:ascii="Courier New" w:cs="Courier New" w:eastAsia="Courier New" w:hAnsi="Courier New"/>
                <w:sz w:val="15"/>
                <w:szCs w:val="15"/>
                <w:color w:val="auto"/>
              </w:rPr>
              <w:t>Acquired contracts in process</w:t>
            </w:r>
          </w:p>
        </w:tc>
        <w:tc>
          <w:tcPr>
            <w:tcW w:w="2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1,027</w:t>
            </w:r>
          </w:p>
        </w:tc>
      </w:tr>
      <w:tr>
        <w:trPr>
          <w:trHeight w:val="176"/>
        </w:trPr>
        <w:tc>
          <w:tcPr>
            <w:tcW w:w="3840" w:type="dxa"/>
            <w:vAlign w:val="bottom"/>
          </w:tcPr>
          <w:p>
            <w:pPr>
              <w:spacing w:after="0"/>
              <w:rPr>
                <w:sz w:val="15"/>
                <w:szCs w:val="15"/>
                <w:color w:val="auto"/>
              </w:rPr>
            </w:pPr>
          </w:p>
        </w:tc>
        <w:tc>
          <w:tcPr>
            <w:tcW w:w="2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tcPr>
          <w:p>
            <w:pPr>
              <w:spacing w:after="0"/>
              <w:rPr>
                <w:sz w:val="15"/>
                <w:szCs w:val="15"/>
                <w:color w:val="auto"/>
              </w:rPr>
            </w:pPr>
          </w:p>
        </w:tc>
        <w:tc>
          <w:tcPr>
            <w:tcW w:w="2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$29,858</w:t>
            </w:r>
          </w:p>
        </w:tc>
        <w:tc>
          <w:tcPr>
            <w:tcW w:w="1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$21,292</w:t>
            </w:r>
          </w:p>
        </w:tc>
      </w:tr>
      <w:tr>
        <w:trPr>
          <w:trHeight w:val="176"/>
        </w:trPr>
        <w:tc>
          <w:tcPr>
            <w:tcW w:w="3840" w:type="dxa"/>
            <w:vAlign w:val="bottom"/>
          </w:tcPr>
          <w:p>
            <w:pPr>
              <w:spacing w:after="0"/>
              <w:rPr>
                <w:sz w:val="15"/>
                <w:szCs w:val="15"/>
                <w:color w:val="auto"/>
              </w:rPr>
            </w:pPr>
          </w:p>
        </w:tc>
        <w:tc>
          <w:tcPr>
            <w:tcW w:w="2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6" w:hanging="466"/>
        <w:spacing w:after="0"/>
        <w:tabs>
          <w:tab w:leader="none" w:pos="4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82" w:lineRule="exact"/>
        <w:rPr>
          <w:rFonts w:ascii="Courier New" w:cs="Courier New" w:eastAsia="Courier New" w:hAnsi="Courier New"/>
          <w:sz w:val="15"/>
          <w:szCs w:val="15"/>
          <w:color w:val="auto"/>
        </w:rPr>
      </w:pPr>
    </w:p>
    <w:p>
      <w:pPr>
        <w:ind w:left="46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the Company engages in hedging activities to reduce the impact of fluctuations in foreign currencies on its profitability and cash flow. The credit risk exposure associated with these activities would be limited to all unrealized gains on contracts based on current market prices. The Company believes that this credit risk has been minimized by dealing with highly rated financial institutions.</w:t>
      </w:r>
    </w:p>
    <w:p>
      <w:pPr>
        <w:spacing w:after="0" w:line="175" w:lineRule="exact"/>
        <w:rPr>
          <w:rFonts w:ascii="Courier New" w:cs="Courier New" w:eastAsia="Courier New" w:hAnsi="Courier New"/>
          <w:sz w:val="15"/>
          <w:szCs w:val="15"/>
          <w:color w:val="auto"/>
        </w:rPr>
      </w:pPr>
    </w:p>
    <w:p>
      <w:pPr>
        <w:ind w:left="466" w:right="297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fund Canadian dollar costs through December 1998, the Company had entered into forward exchange contracts as at September 30, 1997 to hedge the conversion of $30 million of its cash flow into Canadian dollars at an</w:t>
      </w:r>
    </w:p>
    <w:p>
      <w:pPr>
        <w:spacing w:after="0" w:line="1"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average exchange rate of Canadian $1.36 per U.S. dollar. In addition, the Company had entered into forward exchange contracts as at September 30, 1997 to hedge the conversion of 55 million Yen of its cash flow in 1997 into U.S. dollars at an average exchange rate of 106 Yen per U.S. dollar.</w:t>
      </w:r>
    </w:p>
    <w:p>
      <w:pPr>
        <w:spacing w:after="0" w:line="175"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also entered into foreign currency swap transactions to hedge minimum lease payments receivable under sales-type lease contracts denominated in Japanese Yen and French Francs. These swap transactions fix the foreign exchange rates on conversion of 168 million Yen at 98 Yen per U.S. dollar through September 2004 and on 17.4 million Francs at 5.1 Francs per U.S. dollar through September 2005.</w:t>
      </w:r>
    </w:p>
    <w:p>
      <w:pPr>
        <w:spacing w:after="0" w:line="175"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hedging contracts are expected to be held to maturity; however, if they were terminated on September 30, 1997, the Company would have realized a gain of approximately $0.2 million based on the then prevailing exchange rates.</w:t>
      </w:r>
    </w:p>
    <w:p>
      <w:pPr>
        <w:spacing w:after="0" w:line="176" w:lineRule="exact"/>
        <w:rPr>
          <w:sz w:val="20"/>
          <w:szCs w:val="20"/>
          <w:color w:val="auto"/>
        </w:rPr>
      </w:pPr>
    </w:p>
    <w:p>
      <w:pPr>
        <w:ind w:left="3306"/>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25"/>
          </w:cols>
          <w:pgMar w:left="234" w:top="647" w:right="1440" w:bottom="1440" w:gutter="0" w:footer="0" w:header="0"/>
        </w:sectPr>
      </w:pPr>
    </w:p>
    <w:bookmarkStart w:id="7" w:name="page8"/>
    <w:bookmarkEnd w:id="7"/>
    <w:p>
      <w:pPr>
        <w:jc w:val="center"/>
        <w:ind w:right="3073"/>
        <w:spacing w:after="0"/>
        <w:rPr>
          <w:sz w:val="20"/>
          <w:szCs w:val="20"/>
          <w:color w:val="auto"/>
        </w:rPr>
      </w:pPr>
      <w:r>
        <w:rPr>
          <w:rFonts w:ascii="Courier New" w:cs="Courier New" w:eastAsia="Courier New" w:hAnsi="Courier New"/>
          <w:sz w:val="15"/>
          <w:szCs w:val="15"/>
          <w:color w:val="auto"/>
        </w:rPr>
        <w:t>IMAX CORPORATION</w:t>
      </w:r>
    </w:p>
    <w:p>
      <w:pPr>
        <w:spacing w:after="0" w:line="6" w:lineRule="exact"/>
        <w:rPr>
          <w:sz w:val="20"/>
          <w:szCs w:val="20"/>
          <w:color w:val="auto"/>
        </w:rPr>
      </w:pPr>
    </w:p>
    <w:p>
      <w:pPr>
        <w:jc w:val="center"/>
        <w:ind w:right="2993"/>
        <w:spacing w:after="0" w:line="249" w:lineRule="auto"/>
        <w:rPr>
          <w:sz w:val="20"/>
          <w:szCs w:val="20"/>
          <w:color w:val="auto"/>
        </w:rPr>
      </w:pPr>
      <w:r>
        <w:rPr>
          <w:rFonts w:ascii="Courier New" w:cs="Courier New" w:eastAsia="Courier New" w:hAnsi="Courier New"/>
          <w:sz w:val="15"/>
          <w:szCs w:val="15"/>
          <w:color w:val="auto"/>
        </w:rPr>
        <w:t>NOTES TO CONDENSED CONSOLIDATED FINANCIAL STATEMENTS (CONT'D) For the Nine Month Periods Ended September 30, 1997 and 1996 (unaudited)</w:t>
      </w:r>
    </w:p>
    <w:p>
      <w:pPr>
        <w:spacing w:after="0" w:line="200" w:lineRule="exact"/>
        <w:rPr>
          <w:sz w:val="20"/>
          <w:szCs w:val="20"/>
          <w:color w:val="auto"/>
        </w:rPr>
      </w:pPr>
    </w:p>
    <w:p>
      <w:pPr>
        <w:spacing w:after="0" w:line="328" w:lineRule="exact"/>
        <w:rPr>
          <w:sz w:val="20"/>
          <w:szCs w:val="20"/>
          <w:color w:val="auto"/>
        </w:rPr>
      </w:pPr>
    </w:p>
    <w:p>
      <w:pPr>
        <w:ind w:left="466" w:hanging="466"/>
        <w:spacing w:after="0"/>
        <w:tabs>
          <w:tab w:leader="none" w:pos="4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82" w:lineRule="exact"/>
        <w:rPr>
          <w:rFonts w:ascii="Courier New" w:cs="Courier New" w:eastAsia="Courier New" w:hAnsi="Courier New"/>
          <w:sz w:val="15"/>
          <w:szCs w:val="15"/>
          <w:color w:val="auto"/>
        </w:rPr>
      </w:pPr>
    </w:p>
    <w:p>
      <w:pPr>
        <w:ind w:left="466" w:right="2899" w:hanging="8"/>
        <w:spacing w:after="0" w:line="248" w:lineRule="auto"/>
        <w:tabs>
          <w:tab w:leader="none" w:pos="832"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1994, Compagnie France Film Inc. filed a claim against the Company in the Superior Court in the District of Montreal, in the Province of Quebec, alleging breach of contract and bad faith in respect of an agreement which the Plaintiff claims it entered into with the Company for the establishment of an IMAX theater in Quebec City, Quebec, Canada. Until December 1993, Imax was in negotiations with the Plaintiff and another unrelated party for the establishment of an IMAX theater in Quebec City.</w:t>
      </w:r>
    </w:p>
    <w:p>
      <w:pPr>
        <w:spacing w:after="0" w:line="4"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1993, Imax executed a system lease agreement with the other party. During the negotiations, both parties were aware of the other party's interest in also establishing an IMAX theater in Quebec City. The Plaintiffs are claiming damages of Canadian $4.6 million, representing the amount of profit they claim they are denied due to their inability to proceed with an IMAX theater in Quebec City, together with expenses incurred in respect of this project and pre-judgment interest. The Company disputes this claim and has filed a defense in response. Trial is scheduled for January 1998.</w:t>
      </w:r>
    </w:p>
    <w:p>
      <w:pPr>
        <w:spacing w:after="0" w:line="352" w:lineRule="exact"/>
        <w:rPr>
          <w:sz w:val="20"/>
          <w:szCs w:val="20"/>
          <w:color w:val="auto"/>
        </w:rPr>
      </w:pPr>
    </w:p>
    <w:p>
      <w:pPr>
        <w:ind w:left="466" w:right="2899"/>
        <w:spacing w:after="0" w:line="249" w:lineRule="auto"/>
        <w:rPr>
          <w:sz w:val="20"/>
          <w:szCs w:val="20"/>
          <w:color w:val="auto"/>
        </w:rPr>
      </w:pPr>
      <w:r>
        <w:rPr>
          <w:rFonts w:ascii="Courier New" w:cs="Courier New" w:eastAsia="Courier New" w:hAnsi="Courier New"/>
          <w:sz w:val="15"/>
          <w:szCs w:val="15"/>
          <w:color w:val="auto"/>
        </w:rPr>
        <w:t>Compagnie France Film had also incorporated a shell company, 3101-8450 Quebec Inc. ("3101"). 3101 was to, among other things, enter into a lease for the proposed IMAX theater site. In November 1993, while negotiations between Compagnie France Film and the Company were still ongoing, 3101 entered into a lease for the site. 3101 defaulted on the lease and the landlord sued 3101 in an unrelated action to which the Company was not a party. In February 1996, 3101 was found liable to pay the landlord damages in the amount of Canadian $2.5 million. Subsequent to that judgment 3101 intervened in the lawsuit between Compagnie France Film and the Company in order to claim from the Company damages in the amount of Canadian $2.5 million.</w:t>
      </w:r>
    </w:p>
    <w:p>
      <w:pPr>
        <w:spacing w:after="0" w:line="175" w:lineRule="exact"/>
        <w:rPr>
          <w:sz w:val="20"/>
          <w:szCs w:val="20"/>
          <w:color w:val="auto"/>
        </w:rPr>
      </w:pPr>
    </w:p>
    <w:p>
      <w:pPr>
        <w:ind w:left="466" w:right="2899"/>
        <w:spacing w:after="0" w:line="249" w:lineRule="auto"/>
        <w:rPr>
          <w:sz w:val="20"/>
          <w:szCs w:val="20"/>
          <w:color w:val="auto"/>
        </w:rPr>
      </w:pPr>
      <w:r>
        <w:rPr>
          <w:rFonts w:ascii="Courier New" w:cs="Courier New" w:eastAsia="Courier New" w:hAnsi="Courier New"/>
          <w:sz w:val="15"/>
          <w:szCs w:val="15"/>
          <w:color w:val="auto"/>
        </w:rPr>
        <w:t>The Company believes that it will be successful in its defense of these claims and the ultimate loss, if any, will not have a material impact on the financial position or results of operations of the Company, although no assurance can be given with respect to the ultimate outcome of this litigation.</w:t>
      </w:r>
    </w:p>
    <w:p>
      <w:pPr>
        <w:spacing w:after="0" w:line="176" w:lineRule="exact"/>
        <w:rPr>
          <w:sz w:val="20"/>
          <w:szCs w:val="20"/>
          <w:color w:val="auto"/>
        </w:rPr>
      </w:pPr>
    </w:p>
    <w:p>
      <w:pPr>
        <w:ind w:left="466" w:right="2979" w:hanging="8"/>
        <w:spacing w:after="0" w:line="249" w:lineRule="auto"/>
        <w:tabs>
          <w:tab w:leader="none" w:pos="83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26, 1996, Iwerks Entertainment Inc. filed a complaint against the Company alleging violations under the Sherman Act, the Clayton Act, tortious interference with contracts and prospective economic advantage, and unfair competition. The plaintiff is seeking unquantified damages, injunctive relief and restitution. The Company has filed an answer denying the material allegations of the complaint and is vigorously defending this action. The amount of the loss, if any, cannot be determined at this time.</w:t>
      </w:r>
    </w:p>
    <w:p>
      <w:pPr>
        <w:spacing w:after="0" w:line="175" w:lineRule="exact"/>
        <w:rPr>
          <w:rFonts w:ascii="Courier New" w:cs="Courier New" w:eastAsia="Courier New" w:hAnsi="Courier New"/>
          <w:sz w:val="15"/>
          <w:szCs w:val="15"/>
          <w:color w:val="auto"/>
        </w:rPr>
      </w:pPr>
    </w:p>
    <w:p>
      <w:pPr>
        <w:ind w:left="466" w:right="2899" w:hanging="8"/>
        <w:spacing w:after="0" w:line="249" w:lineRule="auto"/>
        <w:tabs>
          <w:tab w:leader="none" w:pos="83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July 1997, Debra B. Altman filed a claim against the Company, and certain unidentified individuals, in the Superior Court of the State of California for the County of Los Angeles, alleging breach of contract, breach of implied covenant of good faith and fair dealing, breach of implied-in-fact contract, breach of confidence, constructive fraud, quantum meruit, unjust enrichment and constructive trust with respect to a film project the Plaintiff claims to have pursued with the Company. The Plaintiff is seeking unquantified damages exceeding $5 million. The Company disputes this claim and has removed it to the U.S. District Court for the Central District of California, Western Division, and intends to vigorously defend this action. The amount of the loss, if any, cannot be determined at this time.</w:t>
      </w:r>
    </w:p>
    <w:p>
      <w:pPr>
        <w:spacing w:after="0" w:line="175" w:lineRule="exact"/>
        <w:rPr>
          <w:sz w:val="20"/>
          <w:szCs w:val="20"/>
          <w:color w:val="auto"/>
        </w:rPr>
      </w:pPr>
    </w:p>
    <w:p>
      <w:pPr>
        <w:ind w:left="466" w:right="2979"/>
        <w:spacing w:after="0" w:line="249" w:lineRule="auto"/>
        <w:rPr>
          <w:sz w:val="20"/>
          <w:szCs w:val="20"/>
          <w:color w:val="auto"/>
        </w:rPr>
      </w:pPr>
      <w:r>
        <w:rPr>
          <w:rFonts w:ascii="Courier New" w:cs="Courier New" w:eastAsia="Courier New" w:hAnsi="Courier New"/>
          <w:sz w:val="15"/>
          <w:szCs w:val="15"/>
          <w:color w:val="auto"/>
        </w:rPr>
        <w:t>In addition to the litigation described above, the Company is currently involved in other litigation which, in the opinion of the Company's management, will not materially affect the Company's financial position or future operating results, although no assurance can be given with respect to the ultimate outcome for any such litigation.</w:t>
      </w:r>
    </w:p>
    <w:p>
      <w:pPr>
        <w:spacing w:after="0" w:line="176" w:lineRule="exact"/>
        <w:rPr>
          <w:sz w:val="20"/>
          <w:szCs w:val="20"/>
          <w:color w:val="auto"/>
        </w:rPr>
      </w:pPr>
    </w:p>
    <w:p>
      <w:pPr>
        <w:ind w:left="3306"/>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25"/>
          </w:cols>
          <w:pgMar w:left="234" w:top="647" w:right="1440" w:bottom="1440" w:gutter="0" w:footer="0" w:header="0"/>
        </w:sectPr>
      </w:pPr>
    </w:p>
    <w:bookmarkStart w:id="8" w:name="page9"/>
    <w:bookmarkEnd w:id="8"/>
    <w:p>
      <w:pPr>
        <w:jc w:val="center"/>
        <w:ind w:right="3073"/>
        <w:spacing w:after="0"/>
        <w:rPr>
          <w:sz w:val="20"/>
          <w:szCs w:val="20"/>
          <w:color w:val="auto"/>
        </w:rPr>
      </w:pPr>
      <w:r>
        <w:rPr>
          <w:rFonts w:ascii="Courier New" w:cs="Courier New" w:eastAsia="Courier New" w:hAnsi="Courier New"/>
          <w:sz w:val="15"/>
          <w:szCs w:val="15"/>
          <w:color w:val="auto"/>
        </w:rPr>
        <w:t>IMAX CORPORATION</w:t>
      </w:r>
    </w:p>
    <w:p>
      <w:pPr>
        <w:spacing w:after="0" w:line="6" w:lineRule="exact"/>
        <w:rPr>
          <w:sz w:val="20"/>
          <w:szCs w:val="20"/>
          <w:color w:val="auto"/>
        </w:rPr>
      </w:pPr>
    </w:p>
    <w:p>
      <w:pPr>
        <w:jc w:val="center"/>
        <w:ind w:right="2993"/>
        <w:spacing w:after="0" w:line="249" w:lineRule="auto"/>
        <w:rPr>
          <w:sz w:val="20"/>
          <w:szCs w:val="20"/>
          <w:color w:val="auto"/>
        </w:rPr>
      </w:pPr>
      <w:r>
        <w:rPr>
          <w:rFonts w:ascii="Courier New" w:cs="Courier New" w:eastAsia="Courier New" w:hAnsi="Courier New"/>
          <w:sz w:val="15"/>
          <w:szCs w:val="15"/>
          <w:color w:val="auto"/>
        </w:rPr>
        <w:t>NOTES TO CONDENSED CONSOLIDATED FINANCIAL STATEMENTS (CONT'D) For the Nine Month Periods Ended September 30, 1997 and 1996 (unaudited)</w:t>
      </w:r>
    </w:p>
    <w:p>
      <w:pPr>
        <w:spacing w:after="0" w:line="352" w:lineRule="exact"/>
        <w:rPr>
          <w:sz w:val="20"/>
          <w:szCs w:val="20"/>
          <w:color w:val="auto"/>
        </w:rPr>
      </w:pPr>
    </w:p>
    <w:p>
      <w:pPr>
        <w:ind w:left="466" w:hanging="466"/>
        <w:spacing w:after="0"/>
        <w:tabs>
          <w:tab w:leader="none" w:pos="4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82" w:lineRule="exact"/>
        <w:rPr>
          <w:rFonts w:ascii="Courier New" w:cs="Courier New" w:eastAsia="Courier New" w:hAnsi="Courier New"/>
          <w:sz w:val="15"/>
          <w:szCs w:val="15"/>
          <w:color w:val="auto"/>
        </w:rPr>
      </w:pPr>
    </w:p>
    <w:p>
      <w:pPr>
        <w:ind w:left="466" w:right="335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deriving the net earnings available to common shareholders, the net earnings for the period have been decreased for the accretion and cumulative dividends on preferred shares.</w:t>
      </w:r>
    </w:p>
    <w:p>
      <w:pPr>
        <w:spacing w:after="0" w:line="175" w:lineRule="exact"/>
        <w:rPr>
          <w:rFonts w:ascii="Courier New" w:cs="Courier New" w:eastAsia="Courier New" w:hAnsi="Courier New"/>
          <w:sz w:val="15"/>
          <w:szCs w:val="15"/>
          <w:color w:val="auto"/>
        </w:rPr>
      </w:pPr>
    </w:p>
    <w:p>
      <w:pPr>
        <w:ind w:left="46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shareholders' approval at the Annual and Special Meeting held on May 6, 1997 the Company's shares were split on a 2-for-1 basis in May 1997. Earnings per share data for the current and comparative periods give effect to the stock split as if it had taken place at the beginning of the respective period.</w:t>
      </w:r>
    </w:p>
    <w:p>
      <w:pPr>
        <w:spacing w:after="0" w:line="175" w:lineRule="exact"/>
        <w:rPr>
          <w:rFonts w:ascii="Courier New" w:cs="Courier New" w:eastAsia="Courier New" w:hAnsi="Courier New"/>
          <w:sz w:val="15"/>
          <w:szCs w:val="15"/>
          <w:color w:val="auto"/>
        </w:rPr>
      </w:pPr>
    </w:p>
    <w:p>
      <w:pPr>
        <w:ind w:left="46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Accounting Standards No.128, Earnings Per Share ("FAS 128") requires a change in the method of calculation of basic and diluted earnings per share for periods ended after December 15, 1997. The Company plans to adopt FAS 128 in the fourth quarter of 1997 for the year ended December 31, 1997. If FAS 128 had been adopted at September 30, 1997, basic earnings per share would have been $0.19 and $0.15 for the three month periods ended September 30, 1997 and 1996, respectively, and $0.46 and $0.37 for the nine month periods ended September 30, 1997 and 1996, respectively. Diluted earnings per share would have been $0.18 and $0.14 for the three month periods ended September 30, 1997 and 1996, respectively, and $0.44 and $0.34 for the nine month periods ended September 30, 1997 and 1996, respectively.</w:t>
      </w:r>
    </w:p>
    <w:p>
      <w:pPr>
        <w:spacing w:after="0" w:line="175" w:lineRule="exact"/>
        <w:rPr>
          <w:sz w:val="20"/>
          <w:szCs w:val="20"/>
          <w:color w:val="auto"/>
        </w:rPr>
      </w:pPr>
    </w:p>
    <w:p>
      <w:pPr>
        <w:ind w:left="3306"/>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0225"/>
          </w:cols>
          <w:pgMar w:left="234" w:top="647" w:right="1440" w:bottom="1440" w:gutter="0" w:footer="0" w:header="0"/>
        </w:sectPr>
      </w:pPr>
    </w:p>
    <w:bookmarkStart w:id="9" w:name="page10"/>
    <w:bookmarkEnd w:id="9"/>
    <w:p>
      <w:pPr>
        <w:jc w:val="center"/>
        <w:ind w:right="2719"/>
        <w:spacing w:after="0"/>
        <w:rPr>
          <w:sz w:val="20"/>
          <w:szCs w:val="20"/>
          <w:color w:val="auto"/>
        </w:rPr>
      </w:pPr>
      <w:r>
        <w:rPr>
          <w:rFonts w:ascii="Courier New" w:cs="Courier New" w:eastAsia="Courier New" w:hAnsi="Courier New"/>
          <w:sz w:val="15"/>
          <w:szCs w:val="15"/>
          <w:color w:val="auto"/>
        </w:rPr>
        <w:t>IMAX CORPORATION</w:t>
      </w:r>
    </w:p>
    <w:p>
      <w:pPr>
        <w:spacing w:after="0" w:line="182" w:lineRule="exact"/>
        <w:rPr>
          <w:sz w:val="20"/>
          <w:szCs w:val="20"/>
          <w:color w:val="auto"/>
        </w:rPr>
      </w:pPr>
    </w:p>
    <w:p>
      <w:pPr>
        <w:ind w:left="820" w:right="2899" w:hanging="823"/>
        <w:spacing w:after="0" w:line="250" w:lineRule="auto"/>
        <w:tabs>
          <w:tab w:leader="none" w:pos="80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of the Company</w:t>
      </w:r>
    </w:p>
    <w:p>
      <w:pPr>
        <w:spacing w:after="0" w:line="182"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5"/>
          <w:szCs w:val="15"/>
          <w:color w:val="auto"/>
        </w:rPr>
        <w:t>The Company derives revenue principally from long-term theater system lease agreements, maintenance agreements, film production agreements, from the distribution of films and from the sale of motion simulator and other attractions products.</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Under the Company's theater system sales and lease agreements, the Company receives upfront fees prior to the delivery of a system which are deferred and not recorded as revenue. At the time of delivery of the system, the upfront fees, plus in the case of sales-type leases the present value of the minimum annual royalty stream, are recognized as revenue. The cost of the system is charged as a cost of sale at the time of delivery. The discounted future minimum royalties are recorded on the Company's balance sheet as net investment in leases. In the event of default of payment of minimum contracted royalties the Company may repossess the system and refurbish it for resale.</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Revenue from theater system sale and sales-type lease agreements is recognized on the completed contract method (that is, upon delivery of the system). The timing of theater system deliveries is largely dependent on timing of the construction and opening of the customer's theater. Revenue from system deliveries generally represents results from contracts signed 12 to 24 months prior to the date of recognition. Revenue from films produced for third parties is recognized when the film is completed and delivered to the sponsor. The completion of films for third parties depends upon the contracted delivery dates with film sponsors.</w:t>
      </w:r>
    </w:p>
    <w:p>
      <w:pPr>
        <w:spacing w:after="0" w:line="35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Revenue from theater systems and film production is generally predictable on a long-term basis given the relationship to projected theater systems deliveries and film completion dates. However, systems revenue and film revenue in any given quarter may vary significantly depending on the nature and timing of the delivery of systems and the completion of films.</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Company's other sources of revenue, which are independent from the delivery of theater systems and the completion of films for third parties, include: royalties not subject to minimums, royalties in excess of minimum royalties and finance income on sales-type leases, maintenance fees on systems, film distribution fees, film post-production fees, revenue from Company-operated theaters and camera rentals.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Theater Signings and Backlog</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During the third quarter of 1997, the Company signed contracts for 16 IMAX theater systems valued at $41.4 million. The value of signings represents a 49% increase over the $27.7 million value of the eight theater contracts signed in the third quarter of 1996. The theater signings for the third quarter of 1997 include one owned and operated location.</w:t>
      </w:r>
    </w:p>
    <w:p>
      <w:pPr>
        <w:spacing w:after="0" w:line="176"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For the nine months ended September 30, 1997, the Company signed contracts for 40 theater systems valued at $93.0 million, a 49% increase over the $62.4 million value of the 21 contracts signed in the prior year period. As a result of these theater signings, the Company's sales backlog grew to $172.7 million at September 30, 1997, a 13% increase from $152.4 million at June 30, 1997 and a</w:t>
      </w:r>
    </w:p>
    <w:p>
      <w:pPr>
        <w:spacing w:after="0" w:line="3"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31% increase from $131.8 million at December 31, 1996. The theater signings for the first nine months of 1997 include three owned and operated locations versus one owned and operated location in the same period last year.</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19"/>
          </w:cols>
          <w:pgMar w:left="240" w:top="647" w:right="1440" w:bottom="1440" w:gutter="0" w:footer="0" w:header="0"/>
        </w:sectPr>
      </w:pPr>
    </w:p>
    <w:bookmarkStart w:id="10" w:name="page11"/>
    <w:bookmarkEnd w:id="10"/>
    <w:p>
      <w:pPr>
        <w:jc w:val="center"/>
        <w:ind w:right="2719"/>
        <w:spacing w:after="0"/>
        <w:rPr>
          <w:sz w:val="20"/>
          <w:szCs w:val="20"/>
          <w:color w:val="auto"/>
        </w:rPr>
      </w:pPr>
      <w:r>
        <w:rPr>
          <w:rFonts w:ascii="Courier New" w:cs="Courier New" w:eastAsia="Courier New" w:hAnsi="Courier New"/>
          <w:sz w:val="15"/>
          <w:szCs w:val="15"/>
          <w:color w:val="auto"/>
        </w:rPr>
        <w:t>IMAX CORPORATION</w:t>
      </w:r>
    </w:p>
    <w:p>
      <w:pPr>
        <w:spacing w:after="0" w:line="182" w:lineRule="exact"/>
        <w:rPr>
          <w:sz w:val="20"/>
          <w:szCs w:val="20"/>
          <w:color w:val="auto"/>
        </w:rPr>
      </w:pPr>
    </w:p>
    <w:p>
      <w:pPr>
        <w:ind w:left="820" w:right="2899" w:hanging="823"/>
        <w:spacing w:after="0" w:line="250" w:lineRule="auto"/>
        <w:tabs>
          <w:tab w:leader="none" w:pos="80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 (CONT'D)</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THEATER SIGNINGS AND BACKLOG (CONT'D)</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Company's sales backlog at September 30, 1997 represented contracts for 68 theater systems, including two upgrades of existing theaters to IMAX 3D. The Company's sales backlog will vary from quarter to quarter depending on the signing of new systems which adds to backlog and the delivery of systems which reduces backlog. Sales backlog represents the revenue under firm contracts for new theater system installations not yet completed which will be recognized as revenue over approximately the next two years as the theater systems are delivered. The value of sales backlog does not include owned and operated, participation or joint venture theaters, letters of intent, IMAX(R) Ridefilm(TM) contracts or long-term theater commitments. As of September 30, 1997, there was a backlog of 27 IMAX Ridefilm systems, including six upgrades, and 16 IMAX Ridefilm theaters in operation.</w:t>
      </w:r>
    </w:p>
    <w:p>
      <w:pPr>
        <w:spacing w:after="0" w:line="175"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THREE MONTHS ENDED SEPTEMBER 30, 1997 VERSUS THREE MONTHS ENDED SEPTEMBER 30, 1996</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Company reported net earnings of $5.5 million or $0.18 per share for the third quarter of 1997 compared to $4.2 million or $0.14 per share for the third quarter of 1996. Earnings per share information has been adjusted for the 2-for-1 stock split which became effective by May 27, 1997.</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Company's revenues for the third quarter of 1997 increased 8% to $35.9 million from $33.1 million in the corresponding quarter last year as a result of growth in film and other revenues offsetting a decline in system revenues.</w:t>
      </w:r>
    </w:p>
    <w:p>
      <w:pPr>
        <w:spacing w:after="0" w:line="176" w:lineRule="exact"/>
        <w:rPr>
          <w:sz w:val="20"/>
          <w:szCs w:val="20"/>
          <w:color w:val="auto"/>
        </w:rPr>
      </w:pPr>
    </w:p>
    <w:p>
      <w:pPr>
        <w:jc w:val="both"/>
        <w:ind w:right="3079"/>
        <w:spacing w:after="0" w:line="248" w:lineRule="auto"/>
        <w:rPr>
          <w:sz w:val="20"/>
          <w:szCs w:val="20"/>
          <w:color w:val="auto"/>
        </w:rPr>
      </w:pPr>
      <w:r>
        <w:rPr>
          <w:rFonts w:ascii="Courier New" w:cs="Courier New" w:eastAsia="Courier New" w:hAnsi="Courier New"/>
          <w:sz w:val="15"/>
          <w:szCs w:val="15"/>
          <w:color w:val="auto"/>
        </w:rPr>
        <w:t>Systems revenue, which includes revenue from theater system sales and leases, royalties and maintenance fees, decreased approximately 8% to $22.5 million in the third quarter of 1997 from $24.4 million in the same quarter last year.</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Revenue from theater system deliveries was lower in the third quarter of 1997 compared to the third quarter of 1996. The Company recognized revenues on five theater systems in the third quarter of 1997 versus eight theater systems in the third quarter of 1996. Revenues in the third quarter of 1997 reflect a higher average value of theater systems contracts recognized compared to 1996 due to a higher proportion of international and IMAX 3D theater system deliveries. Recurring revenues from both royalties and maintenance fees increased 23% in the third quarter of 1997 over the prior year period principally as a result of growth in the IMAX theater network.</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Film revenue comprises revenue recognized from film production, film distribution and film post-production activities. Film revenue increased 78% to $10.5 million in the third quarter of 1997 from $5.9 million in the same quarter last year due to an increase in film distribution and post-production revenues. Film distribution revenue increased in the current quarter over the comparable quarter of 1996 due to strong results of films which were released in the latter half of 1996 and the first half of 1997 and also due to growth in the IMAX theater network.</w:t>
      </w:r>
    </w:p>
    <w:p>
      <w:pPr>
        <w:spacing w:after="0" w:line="175"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Other revenues increased 2% to $2.9 million from $2.8 million in the prior year quarter. There were no deliveries of IMAX Ridefilm systems to third parties in the third quarter of 1997 or the corresponding quarter last year.</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Gross margin for the second quarter of 1997 was $20.3 million, or 57% of total revenue, compared to $19.1 million, or 58% of total revenue, in the corresponding quarter last year. Gross margin as a percentage of total revenue in the current year is relatively consistent with the prior year period despite the lower proportion of systems revenue due to better margin on film production, post-production and other activities and lower purchase accounting in the current year.</w:t>
      </w:r>
    </w:p>
    <w:p>
      <w:pPr>
        <w:spacing w:after="0" w:line="35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219"/>
          </w:cols>
          <w:pgMar w:left="240" w:top="647" w:right="1440" w:bottom="1440" w:gutter="0" w:footer="0" w:header="0"/>
        </w:sectPr>
      </w:pPr>
    </w:p>
    <w:bookmarkStart w:id="11" w:name="page12"/>
    <w:bookmarkEnd w:id="11"/>
    <w:p>
      <w:pPr>
        <w:jc w:val="center"/>
        <w:ind w:right="2719"/>
        <w:spacing w:after="0"/>
        <w:rPr>
          <w:sz w:val="20"/>
          <w:szCs w:val="20"/>
          <w:color w:val="auto"/>
        </w:rPr>
      </w:pPr>
      <w:r>
        <w:rPr>
          <w:rFonts w:ascii="Courier New" w:cs="Courier New" w:eastAsia="Courier New" w:hAnsi="Courier New"/>
          <w:sz w:val="15"/>
          <w:szCs w:val="15"/>
          <w:color w:val="auto"/>
        </w:rPr>
        <w:t>IMAX CORPORATION</w:t>
      </w:r>
    </w:p>
    <w:p>
      <w:pPr>
        <w:spacing w:after="0" w:line="182" w:lineRule="exact"/>
        <w:rPr>
          <w:sz w:val="20"/>
          <w:szCs w:val="20"/>
          <w:color w:val="auto"/>
        </w:rPr>
      </w:pPr>
    </w:p>
    <w:p>
      <w:pPr>
        <w:ind w:left="820" w:right="2899" w:hanging="823"/>
        <w:spacing w:after="0" w:line="250" w:lineRule="auto"/>
        <w:tabs>
          <w:tab w:leader="none" w:pos="80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 (CONT'D)</w:t>
      </w:r>
    </w:p>
    <w:p>
      <w:pPr>
        <w:spacing w:after="0" w:line="175"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THREE MONTHS ENDED SEPTEMBER 30, 1997 VERSUS THREE MONTHS ENDED SEPTEMBER 30, 1996 (CONT'D)</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Selling, general and administrative expenses were $6.9 million in the third quarter of 1997 compared to $7.2 million in the corresponding quarter last year. The decrease in selling, general and administrative expenses in 1997 compared to 1996 resulted from a reduction in costs associated with IMAX Ridefilm, litigation and other corporate expenses, partially offset by increases in costs associated with branding and affiliate relations initiatives.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effective tax rate on earnings before taxes differs from the statutory tax rate and will vary from quarter to quarter primarily as a result of the amortization of goodwill, which is not deductible for tax purposes, and the provision of income taxes at different tax rates in foreign and other provincial jurisdictions.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SEPTEMBER 30, 1997 VERSUS NINE MONTHS ENDED SEPTEMBER 30, 1996</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Company reported net earnings of $13.3 million or $0.44 per share for the first nine months of 1997 compared to $10.5 million or $0.34 per share for the first nine months of 1996. Earnings per share information has been adjusted for the 2-for-1 stock split which became effective by May 27, 1997.</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Company's revenues for the first nine months of 1997 increased 13% to $103.9 million from $92.1 million in the corresponding period last year as a result of higher recurring revenues from royalties and maintenance fees and higher film revenues.</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Systems revenue was essentially flat at $60.5 million in the first nine months of 1997 compared to $60.3 million in the same period last year. Revenue from theater system deliveries was lower in the first nine months of 1997 compared to the same period last year. The Company recognized revenues on 14 theater systems in the first nine months of 1997 as compared to 19 theater systems in the prior year period. Revenues in the first nine months of 1997 reflect a higher average value of theater systems contracts recognized compared to the same period in 1996 due to a higher proportion of international and IMAX 3D theater system deliveries. Recurring revenues from both royalties and maintenance fees increased 30% in the first nine months of 1997 over the prior year period.</w:t>
      </w:r>
    </w:p>
    <w:p>
      <w:pPr>
        <w:spacing w:after="0" w:line="351"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Film revenue increased 55% to $33.5 million in the first nine months of 1997 from $21.6 million in the same period last year due to an increase in film distribution and post-production revenues. Film distribution revenue increased in the first nine months of 1997 over the comparable period last year due to strong results of films which were released in the latter half of 1996 and first half of 1997 and also due to growth in the IMAX theater network. There was one film produced for a third party in each of the first nine months of 1997 and 1996.</w:t>
      </w:r>
    </w:p>
    <w:p>
      <w:pPr>
        <w:spacing w:after="0" w:line="35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0219"/>
          </w:cols>
          <w:pgMar w:left="240" w:top="647" w:right="1440" w:bottom="1440" w:gutter="0" w:footer="0" w:header="0"/>
        </w:sectPr>
      </w:pPr>
    </w:p>
    <w:bookmarkStart w:id="12" w:name="page13"/>
    <w:bookmarkEnd w:id="12"/>
    <w:p>
      <w:pPr>
        <w:jc w:val="center"/>
        <w:ind w:right="2719"/>
        <w:spacing w:after="0"/>
        <w:rPr>
          <w:sz w:val="20"/>
          <w:szCs w:val="20"/>
          <w:color w:val="auto"/>
        </w:rPr>
      </w:pPr>
      <w:r>
        <w:rPr>
          <w:rFonts w:ascii="Courier New" w:cs="Courier New" w:eastAsia="Courier New" w:hAnsi="Courier New"/>
          <w:sz w:val="15"/>
          <w:szCs w:val="15"/>
          <w:color w:val="auto"/>
        </w:rPr>
        <w:t>IMAX CORPORATION</w:t>
      </w:r>
    </w:p>
    <w:p>
      <w:pPr>
        <w:spacing w:after="0" w:line="18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 (CONT'D)</w:t>
      </w:r>
    </w:p>
    <w:p>
      <w:pPr>
        <w:spacing w:after="0" w:line="175"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NINE MONTHS ENDED SEPTEMBER 30, 1997 VERSUS NINE MONTHS ENDED SEPTEMBER 30, 1996 (CONT'D)</w:t>
      </w:r>
    </w:p>
    <w:p>
      <w:pPr>
        <w:spacing w:after="0" w:line="351"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Gross margin for the first nine months of 1997 was $55.9 million, or 54% of total revenue, compared to $50.6 million, or 55% of total revenue, in the corresponding period last year. Gross margin as a percentage of total revenue in the current year is relatively consistent with the prior year period despite the lower proportion of systems revenue due to better margin on film production, post-production and other activities and lower purchase accounting in the current year.</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Selling, general and administrative expenses were $21.6 million in the first nine months of 1997 compared to $20.5 million in the first nine months of 1996. The increase in selling, general and administrative expenses in 1997 over 1996 resulted principally from marketing, branding and affiliate relations initiatives and litigation costs, offset by a decrease in costs associated with IMAX Ridefilm.</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Research and development expenses decreased to $1.4 million in the first nine months of 1997 compared to $1.9 million in the first nine months of last year. The Company's technical staff were engaged, earlier in 1997, in the design and production of the new IMAX 3D SR theater system and not in the typical research and development activities. Research and development expenses returned to historical levels in the third quarter of 1997.</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effective tax rate on earnings before taxes differs from the statutory tax rate and will vary from quarter to quarter primarily as a result of the amortization of goodwill, which is not deductible for tax purposes, and the provision of income taxes at different tax rates in foreign and other provincial jurisdictions.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At September 30, 1997, the Company's principal source of liquidity included cash and cash equivalents of $72.3 million, marketable securities totalling $27.0 million, trade accounts receivable of $31.3 million, and the amounts receivable under contracts in backlog which are not yet reflected on the balance sheet.</w:t>
      </w:r>
    </w:p>
    <w:p>
      <w:pPr>
        <w:spacing w:after="0" w:line="2"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The Company also has unused lines of credit under a working capital facility of U.S. $6.3 million.</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Company partially funds its operations primarily through cash flow from operations. Under the terms of the Company's typical theater system lease agreement, the Company receives cash payments before it completes the performance of its obligations. Similarly, the Company typically receives cash payments for film production in advance of related cash expenditures. These cash flows have generally been adequate to finance the ongoing operations of the Company.</w:t>
      </w:r>
    </w:p>
    <w:p>
      <w:pPr>
        <w:spacing w:after="0" w:line="35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the first nine months of 1997, cash provided by operating activities amounted to $3.7 million after the payment of interest on the Senior and Convertible Notes totalling $9.4 million and working capital requirements. Working capital requirements in the first nine months of 1997 included an increase of $8.6 million in the Company's inventory due to manufacturing activity related to systems in backlog and IMAX Ridefilm systems scheduled for delivery over the next 18 months and an increase in accounts receivable of $13.3 million, primarily related to an increase in the amount of upfront fees billed in connection with the higher signings activity and the growth in the number of systems in backlog.</w:t>
      </w:r>
    </w:p>
    <w:p>
      <w:pPr>
        <w:spacing w:after="0" w:line="351"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219"/>
          </w:cols>
          <w:pgMar w:left="240" w:top="647" w:right="1440" w:bottom="1440" w:gutter="0" w:footer="0" w:header="0"/>
        </w:sectPr>
      </w:pPr>
    </w:p>
    <w:bookmarkStart w:id="13" w:name="page14"/>
    <w:bookmarkEnd w:id="13"/>
    <w:p>
      <w:pPr>
        <w:jc w:val="center"/>
        <w:ind w:right="2719"/>
        <w:spacing w:after="0"/>
        <w:rPr>
          <w:sz w:val="20"/>
          <w:szCs w:val="20"/>
          <w:color w:val="auto"/>
        </w:rPr>
      </w:pPr>
      <w:r>
        <w:rPr>
          <w:rFonts w:ascii="Courier New" w:cs="Courier New" w:eastAsia="Courier New" w:hAnsi="Courier New"/>
          <w:sz w:val="15"/>
          <w:szCs w:val="15"/>
          <w:color w:val="auto"/>
        </w:rPr>
        <w:t>IMAX CORPORATION</w:t>
      </w:r>
    </w:p>
    <w:p>
      <w:pPr>
        <w:spacing w:after="0" w:line="18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 (CONT'D)</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 (CONT'D)</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Cash used in investing activities in the first nine months of 1997 included an increase in marketable securities of $8.8 million, expenditure of $12.1 million on capital assets, principally building and other assets under construction and motion simulation equipment, and investment of $17.1 million in film assets.</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During the first nine months of 1997, the Company repaid $1.2 million of long-term debt, compared to $0.5 million in the first nine months of 1996 and received $5.0 million of proceeds from common shares issued under stock option agreements.</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The Company believes that cash flows from operations together with existing cash balances and the working capital facility will continue to be sufficient to meet cash requirements in the foreseeable future.</w:t>
      </w:r>
    </w:p>
    <w:p>
      <w:pPr>
        <w:spacing w:after="0" w:line="35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359"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LEGAL PROCEEDINGS</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In April 1994, Compagnie France Film Inc. filed a claim against the Company in the Superior Court in the District of Montreal, in the Province of Quebec, alleging breach of contract and bad faith in respect of an agreement which the plaintiff claims it entered into with the Company for the establishment of an IMAX theater in Quebec City, Quebec, Canada. Until December 1993, Imax was in negotiations with the plaintiff and another unrelated party for the establishment of an IMAX theater in Quebec City. In December 1993, Imax executed a system lease agreement with the other party. During the negotiations, both parties were aware of the other party's interest in also establishing an IMAX theater in Quebec City. The plaintiffs are claiming damages of Canadian $4.6 million, representing the amount of profit they claim they are denied due to their inability to proceed with an IMAX theater in Quebec City, together with expenses incurred in respect of this project and pre-judgement interest. The Company disputes this claim and has filed a defense in response. Trial is scheduled for January 1998. Compagnie France Film had also incorporated a shell company, 3101-8450 Quebec Inc. ("3101"). 3101 was to, among other things, enter into a lease for the proposed IMAX theater site. In November 1993, while negotiations between Compagnie France Film and the Company were still ongoing, 3101 entered into a lease for the site. 3101 defaulted on the lease and the landlord sued 3101 in an unrelated action to which the Company was not a party. In February 1996, 3101 was found liable to pay the landlord damages in the amount of Canadian $2.5 million. Subsequent to that judgment</w:t>
      </w:r>
    </w:p>
    <w:p>
      <w:pPr>
        <w:spacing w:after="0" w:line="13"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3101 intervened in the lawsuit between Compagnie France Film and the Company in order to claim from the Company damages in the amount of Canadian $2.5 million. The Company believes that it will be successful in its defense of these claims and the ultimate loss, if any, will not have a material impact on the financial position or results of operations of the Company, although no assurance can be given with respect to the ultimate outcome of this litigation.</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19"/>
          </w:cols>
          <w:pgMar w:left="240" w:top="647" w:right="1440" w:bottom="1440" w:gutter="0" w:footer="0" w:header="0"/>
        </w:sectPr>
      </w:pPr>
    </w:p>
    <w:bookmarkStart w:id="14" w:name="page15"/>
    <w:bookmarkEnd w:id="14"/>
    <w:p>
      <w:pPr>
        <w:ind w:left="3026"/>
        <w:spacing w:after="0"/>
        <w:rPr>
          <w:sz w:val="20"/>
          <w:szCs w:val="20"/>
          <w:color w:val="auto"/>
        </w:rPr>
      </w:pPr>
      <w:r>
        <w:rPr>
          <w:rFonts w:ascii="Courier New" w:cs="Courier New" w:eastAsia="Courier New" w:hAnsi="Courier New"/>
          <w:sz w:val="15"/>
          <w:szCs w:val="15"/>
          <w:color w:val="auto"/>
        </w:rPr>
        <w:t>IMAX CORPORATION</w:t>
      </w:r>
    </w:p>
    <w:p>
      <w:pPr>
        <w:spacing w:after="0" w:line="182"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Item 1.</w:t>
        <w:tab/>
        <w:t>Legal Proceedings (Cont'd)</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Company filed a complaint in August 1994 in the U.S. District Court for the Northern District of California claiming that Neil Johnson, NJ Engineering Inc. and Cinema Technologies Inc. have misappropriated the Company's trade secrets in the design and manufacture of defendants' 70mm 15-perforation projection systems. The Company is seeking an injunction against Cinema Technologies Inc. to prevent shipment of projectors, which incorporate the Company's trade secrets, in addition to damages. The defendant has brought two motions for summary judgement, one of which was based on the defendant's statute of limitations defense and the other based on, among others, the defendant's contention that the trade secrets at issue were not trade secrets. The court denied the motion based on the statute of limitations defense, granted the motion based on the trade secret status issue, and entered a judgement for the defendants. The Company has filed an appeal of this decision to the U.S. Court of Appeal for the Ninth Circuit. The Company expects that the appeal will be heard in early 1998.</w:t>
      </w:r>
    </w:p>
    <w:p>
      <w:pPr>
        <w:spacing w:after="0" w:line="351"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Iwerks Entertainment, Inc. filed a complaint against the Company on February 26, 1996 in the U.S. District Court for the Central District of California alleging violations under the Sherman Act, the Clayton Act, and tortious interference with contracts and prospective economic advantage. Iwerks Entertainment, Inc. is seeking unquantified damages, injunctive relief and restitution. The Company has filed an answer denying the material allegations of the complaint and is vigorously defending this action.</w:t>
      </w:r>
    </w:p>
    <w:p>
      <w:pPr>
        <w:spacing w:after="0" w:line="175"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In July 1997, Debra B. Altman filed a claim against the Company, and certain unidentified individuals, in the Superior Court of the State of California for the County of Los Angeles, alleging breach of contract, breach of implied covenant of good faith and fair dealing, breach of implied-in-fact contract, breach of confidence, constructive fraud, quantum meruit, unjust enrichment and constructive trust with respect to a film project the Plaintiff claims to have pursued with the Company. The Plaintiff is seeking unquantified damages exceeding $5 million. The Company disputes this claim and has removed it to the U.S. District Court for the Central District of California, Western Division, and intends to vigorously defend this action. The amount of the loss, if any, cannot be determined at this time.</w:t>
      </w:r>
    </w:p>
    <w:p>
      <w:pPr>
        <w:spacing w:after="0" w:line="175" w:lineRule="exact"/>
        <w:rPr>
          <w:sz w:val="20"/>
          <w:szCs w:val="20"/>
          <w:color w:val="auto"/>
        </w:rPr>
      </w:pPr>
    </w:p>
    <w:p>
      <w:pPr>
        <w:ind w:left="6" w:right="2899" w:firstLine="916"/>
        <w:spacing w:after="0" w:line="249" w:lineRule="auto"/>
        <w:rPr>
          <w:sz w:val="20"/>
          <w:szCs w:val="20"/>
          <w:color w:val="auto"/>
        </w:rPr>
      </w:pPr>
      <w:r>
        <w:rPr>
          <w:rFonts w:ascii="Courier New" w:cs="Courier New" w:eastAsia="Courier New" w:hAnsi="Courier New"/>
          <w:sz w:val="15"/>
          <w:szCs w:val="15"/>
          <w:color w:val="auto"/>
        </w:rPr>
        <w:t>In addition to the litigation described above, the Company is currently involved in other litigation which, in the opinion of the Company's management, will not materially affect the Company's financial position or future operating results, although no assurance can be given with respect to the ultimate outcome for any such litigation.</w:t>
      </w:r>
    </w:p>
    <w:p>
      <w:pPr>
        <w:spacing w:after="0" w:line="176" w:lineRule="exact"/>
        <w:rPr>
          <w:sz w:val="20"/>
          <w:szCs w:val="20"/>
          <w:color w:val="auto"/>
        </w:rPr>
      </w:pPr>
    </w:p>
    <w:p>
      <w:pPr>
        <w:ind w:left="6"/>
        <w:spacing w:after="0"/>
        <w:tabs>
          <w:tab w:leader="none" w:pos="806" w:val="left"/>
        </w:tabs>
        <w:rPr>
          <w:sz w:val="20"/>
          <w:szCs w:val="20"/>
          <w:color w:val="auto"/>
        </w:rPr>
      </w:pPr>
      <w:r>
        <w:rPr>
          <w:rFonts w:ascii="Courier New" w:cs="Courier New" w:eastAsia="Courier New" w:hAnsi="Courier New"/>
          <w:sz w:val="15"/>
          <w:szCs w:val="15"/>
          <w:color w:val="auto"/>
        </w:rPr>
        <w:t>ITEM 6.</w:t>
        <w:tab/>
        <w:t>EXHIBITS AND REPORTS ON FORM 8-K</w:t>
      </w:r>
    </w:p>
    <w:p>
      <w:pPr>
        <w:spacing w:after="0" w:line="182" w:lineRule="exact"/>
        <w:rPr>
          <w:sz w:val="20"/>
          <w:szCs w:val="20"/>
          <w:color w:val="auto"/>
        </w:rPr>
      </w:pPr>
    </w:p>
    <w:p>
      <w:pPr>
        <w:ind w:left="826" w:hanging="826"/>
        <w:spacing w:after="0"/>
        <w:tabs>
          <w:tab w:leader="none" w:pos="82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2" w:lineRule="exact"/>
        <w:rPr>
          <w:sz w:val="20"/>
          <w:szCs w:val="20"/>
          <w:color w:val="auto"/>
        </w:rPr>
      </w:pPr>
    </w:p>
    <w:p>
      <w:pPr>
        <w:ind w:left="826" w:right="2979" w:hanging="551"/>
        <w:spacing w:after="0" w:line="250" w:lineRule="auto"/>
        <w:tabs>
          <w:tab w:leader="none" w:pos="826"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 Computation of earnings per share for the three and nine month periods ended September 30, 1997 and 1996</w:t>
      </w:r>
    </w:p>
    <w:p>
      <w:pPr>
        <w:spacing w:after="0" w:line="174"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2" w:lineRule="exact"/>
        <w:rPr>
          <w:sz w:val="20"/>
          <w:szCs w:val="20"/>
          <w:color w:val="auto"/>
        </w:rPr>
      </w:pPr>
    </w:p>
    <w:p>
      <w:pPr>
        <w:ind w:left="826" w:right="3439"/>
        <w:spacing w:after="0" w:line="250" w:lineRule="auto"/>
        <w:rPr>
          <w:sz w:val="20"/>
          <w:szCs w:val="20"/>
          <w:color w:val="auto"/>
        </w:rPr>
      </w:pPr>
      <w:r>
        <w:rPr>
          <w:rFonts w:ascii="Courier New" w:cs="Courier New" w:eastAsia="Courier New" w:hAnsi="Courier New"/>
          <w:sz w:val="15"/>
          <w:szCs w:val="15"/>
          <w:color w:val="auto"/>
        </w:rPr>
        <w:t>No reports on Form 8-K were filed in the three month period ended September 30, 1997.</w:t>
      </w:r>
    </w:p>
    <w:p>
      <w:pPr>
        <w:spacing w:after="0" w:line="175" w:lineRule="exact"/>
        <w:rPr>
          <w:sz w:val="20"/>
          <w:szCs w:val="20"/>
          <w:color w:val="auto"/>
        </w:rPr>
      </w:pPr>
    </w:p>
    <w:p>
      <w:pPr>
        <w:ind w:left="3306"/>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25"/>
          </w:cols>
          <w:pgMar w:left="234" w:top="647" w:right="1440" w:bottom="1440" w:gutter="0" w:footer="0" w:header="0"/>
        </w:sectPr>
      </w:pPr>
    </w:p>
    <w:bookmarkStart w:id="15" w:name="page16"/>
    <w:bookmarkEnd w:id="15"/>
    <w:p>
      <w:pPr>
        <w:ind w:left="3020"/>
        <w:spacing w:after="0"/>
        <w:rPr>
          <w:sz w:val="20"/>
          <w:szCs w:val="20"/>
          <w:color w:val="auto"/>
        </w:rPr>
      </w:pPr>
      <w:r>
        <w:rPr>
          <w:rFonts w:ascii="Courier New" w:cs="Courier New" w:eastAsia="Courier New" w:hAnsi="Courier New"/>
          <w:sz w:val="15"/>
          <w:szCs w:val="15"/>
          <w:color w:val="auto"/>
        </w:rPr>
        <w:t>SIGNATURES</w:t>
      </w:r>
    </w:p>
    <w:p>
      <w:pPr>
        <w:spacing w:after="0" w:line="359" w:lineRule="exact"/>
        <w:rPr>
          <w:sz w:val="20"/>
          <w:szCs w:val="20"/>
          <w:color w:val="auto"/>
        </w:rPr>
      </w:pPr>
    </w:p>
    <w:p>
      <w:pPr>
        <w:jc w:val="both"/>
        <w:ind w:right="3619"/>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5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IMAX CORPORATION</w:t>
      </w:r>
    </w:p>
    <w:p>
      <w:pPr>
        <w:sectPr>
          <w:pgSz w:w="11900" w:h="16838" w:orient="portrait"/>
          <w:cols w:equalWidth="0" w:num="1">
            <w:col w:w="10219"/>
          </w:cols>
          <w:pgMar w:left="240" w:top="647"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Date:</w:t>
        <w:tab/>
        <w:t>November 11,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John M. Davison</w:t>
      </w:r>
    </w:p>
    <w:p>
      <w:pPr>
        <w:spacing w:after="0" w:line="6" w:lineRule="exact"/>
        <w:rPr>
          <w:sz w:val="20"/>
          <w:szCs w:val="20"/>
          <w:color w:val="auto"/>
        </w:rPr>
      </w:pPr>
    </w:p>
    <w:p>
      <w:pPr>
        <w:sectPr>
          <w:pgSz w:w="11900" w:h="16838" w:orient="portrait"/>
          <w:cols w:equalWidth="0" w:num="2">
            <w:col w:w="2660" w:space="720"/>
            <w:col w:w="6839"/>
          </w:cols>
          <w:pgMar w:left="240" w:top="647" w:right="1440" w:bottom="1440" w:gutter="0" w:footer="0" w:header="0"/>
          <w:type w:val="continuous"/>
        </w:sectPr>
      </w:pPr>
    </w:p>
    <w:p>
      <w:pPr>
        <w:spacing w:after="0"/>
        <w:tabs>
          <w:tab w:leader="none" w:pos="39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John M. Davison</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Executive Vice President, Operations</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and Chief Financial Officer</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(Principal Financial Officer)</w:t>
      </w:r>
    </w:p>
    <w:p>
      <w:pPr>
        <w:spacing w:after="0" w:line="182" w:lineRule="exact"/>
        <w:rPr>
          <w:sz w:val="20"/>
          <w:szCs w:val="20"/>
          <w:color w:val="auto"/>
        </w:rPr>
      </w:pPr>
    </w:p>
    <w:p>
      <w:pPr>
        <w:ind w:left="3380"/>
        <w:spacing w:after="0"/>
        <w:tabs>
          <w:tab w:leader="none" w:pos="4180" w:val="left"/>
        </w:tabs>
        <w:rPr>
          <w:sz w:val="20"/>
          <w:szCs w:val="20"/>
          <w:color w:val="auto"/>
        </w:rPr>
      </w:pPr>
      <w:r>
        <w:rPr>
          <w:rFonts w:ascii="Courier New" w:cs="Courier New" w:eastAsia="Courier New" w:hAnsi="Courier New"/>
          <w:sz w:val="15"/>
          <w:szCs w:val="15"/>
          <w:color w:val="auto"/>
        </w:rPr>
        <w:t>By: /S/</w:t>
        <w:tab/>
        <w:t>Michael M. Davies</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Michael M. Davies</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Vice President and Corporate</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Controller</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(Principal Accounting Officer)</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19"/>
          </w:cols>
          <w:pgMar w:left="240" w:top="647"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71"/>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IMAX CORPORATION</w:t>
            </w:r>
          </w:p>
        </w:tc>
        <w:tc>
          <w:tcPr>
            <w:tcW w:w="18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Exhibit 11</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6"/>
        </w:trPr>
        <w:tc>
          <w:tcPr>
            <w:tcW w:w="5680" w:type="dxa"/>
            <w:vAlign w:val="bottom"/>
            <w:gridSpan w:val="3"/>
          </w:tcPr>
          <w:p>
            <w:pPr>
              <w:spacing w:after="0"/>
              <w:rPr>
                <w:sz w:val="20"/>
                <w:szCs w:val="20"/>
                <w:color w:val="auto"/>
              </w:rPr>
            </w:pPr>
            <w:r>
              <w:rPr>
                <w:rFonts w:ascii="Courier New" w:cs="Courier New" w:eastAsia="Courier New" w:hAnsi="Courier New"/>
                <w:sz w:val="15"/>
                <w:szCs w:val="15"/>
                <w:color w:val="auto"/>
              </w:rPr>
              <w:t>STATEMENT RE: COMPUTATION OF EARNINGS PER SHARE</w:t>
            </w: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5680" w:type="dxa"/>
            <w:vAlign w:val="bottom"/>
            <w:gridSpan w:val="3"/>
          </w:tcPr>
          <w:p>
            <w:pPr>
              <w:spacing w:after="0"/>
              <w:rPr>
                <w:sz w:val="20"/>
                <w:szCs w:val="20"/>
                <w:color w:val="auto"/>
              </w:rPr>
            </w:pPr>
            <w:r>
              <w:rPr>
                <w:rFonts w:ascii="Courier New" w:cs="Courier New" w:eastAsia="Courier New" w:hAnsi="Courier New"/>
                <w:sz w:val="15"/>
                <w:szCs w:val="15"/>
                <w:color w:val="auto"/>
              </w:rPr>
              <w:t>Expressed in thousands, except per share amounts</w:t>
            </w: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8460" w:type="dxa"/>
            <w:vAlign w:val="bottom"/>
            <w:gridSpan w:val="5"/>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spacing w:after="0"/>
              <w:rPr>
                <w:sz w:val="15"/>
                <w:szCs w:val="15"/>
                <w:color w:val="auto"/>
              </w:rPr>
            </w:pPr>
          </w:p>
        </w:tc>
      </w:tr>
      <w:tr>
        <w:trPr>
          <w:trHeight w:val="705"/>
        </w:trPr>
        <w:tc>
          <w:tcPr>
            <w:tcW w:w="10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7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THREE MONTHS ENDED</w:t>
            </w:r>
          </w:p>
        </w:tc>
        <w:tc>
          <w:tcPr>
            <w:tcW w:w="1340" w:type="dxa"/>
            <w:vAlign w:val="bottom"/>
          </w:tcPr>
          <w:p>
            <w:pPr>
              <w:spacing w:after="0"/>
              <w:rPr>
                <w:sz w:val="24"/>
                <w:szCs w:val="24"/>
                <w:color w:val="auto"/>
              </w:rPr>
            </w:pP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30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SEPTEMBER 30, 1997</w:t>
            </w:r>
          </w:p>
        </w:tc>
        <w:tc>
          <w:tcPr>
            <w:tcW w:w="2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SEPTEMBER 30, 1996</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3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PRIMARY</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FULLY</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PRIMARY</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FULLY</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DILUTED</w:t>
            </w:r>
          </w:p>
        </w:tc>
        <w:tc>
          <w:tcPr>
            <w:tcW w:w="1320" w:type="dxa"/>
            <w:vAlign w:val="bottom"/>
          </w:tcPr>
          <w:p>
            <w:pPr>
              <w:spacing w:after="0"/>
              <w:rPr>
                <w:sz w:val="15"/>
                <w:szCs w:val="15"/>
                <w:color w:val="auto"/>
              </w:rPr>
            </w:pP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DILUTED</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EARNINGS</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$ 5,485</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$ 5,485</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$ 4,244</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$ 4,244</w:t>
            </w:r>
          </w:p>
        </w:tc>
      </w:tr>
      <w:tr>
        <w:trPr>
          <w:trHeight w:val="176"/>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Less:</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1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(43)</w:t>
            </w: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Preferred accretion</w:t>
            </w:r>
          </w:p>
        </w:tc>
        <w:tc>
          <w:tcPr>
            <w:tcW w:w="1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w:t>
            </w: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earnings available to common</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3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shareholders</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$ 5,401</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$ 5,401</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$ 4,166</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$ 4,166</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WEIGHTED AVERAGE SHARES CALCULATION:</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2"/>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Number of common shares outstanding</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3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at beginning of period</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27,886</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27,886</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28,154</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28,154</w:t>
            </w:r>
          </w:p>
        </w:tc>
      </w:tr>
      <w:tr>
        <w:trPr>
          <w:trHeight w:val="352"/>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Weighted average shares</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3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Issued pursuant to employment contract</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6"/>
        </w:trPr>
        <w:tc>
          <w:tcPr>
            <w:tcW w:w="3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Options exercised</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1,114</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1,114</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232</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232</w:t>
            </w:r>
          </w:p>
        </w:tc>
      </w:tr>
      <w:tr>
        <w:trPr>
          <w:trHeight w:val="176"/>
        </w:trPr>
        <w:tc>
          <w:tcPr>
            <w:tcW w:w="3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Shares repurchased</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(660)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(660)</w:t>
            </w:r>
          </w:p>
        </w:tc>
      </w:tr>
      <w:tr>
        <w:trPr>
          <w:trHeight w:val="352"/>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Assumed exercise of stock options, net</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3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 shares assumed acquired under the</w:t>
            </w:r>
          </w:p>
        </w:tc>
        <w:tc>
          <w:tcPr>
            <w:tcW w:w="1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3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Treasury Stock Method</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1,377</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1,379</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1,924</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1,982</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USED IN COMPUTING PER SHARE</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1000" w:type="dxa"/>
            <w:vAlign w:val="bottom"/>
          </w:tcPr>
          <w:p>
            <w:pPr>
              <w:ind w:left="360"/>
              <w:spacing w:after="0"/>
              <w:rPr>
                <w:sz w:val="20"/>
                <w:szCs w:val="20"/>
                <w:color w:val="auto"/>
              </w:rPr>
            </w:pPr>
            <w:r>
              <w:rPr>
                <w:rFonts w:ascii="Courier New" w:cs="Courier New" w:eastAsia="Courier New" w:hAnsi="Courier New"/>
                <w:sz w:val="15"/>
                <w:szCs w:val="15"/>
                <w:color w:val="auto"/>
                <w:w w:val="98"/>
              </w:rPr>
              <w:t>AMOUNTS</w:t>
            </w: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30,380</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30,382</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29,654</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29,712</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WEIGHTED AVERAGE PER SHARE AMOUNTS</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$0.18</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$0.18</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$0.14</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$0.14</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10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7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NINE MONTHS ENDED</w:t>
            </w:r>
          </w:p>
        </w:tc>
        <w:tc>
          <w:tcPr>
            <w:tcW w:w="1340" w:type="dxa"/>
            <w:vAlign w:val="bottom"/>
          </w:tcPr>
          <w:p>
            <w:pPr>
              <w:spacing w:after="0"/>
              <w:rPr>
                <w:sz w:val="24"/>
                <w:szCs w:val="24"/>
                <w:color w:val="auto"/>
              </w:rPr>
            </w:pP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9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300" w:type="dxa"/>
            <w:vAlign w:val="bottom"/>
            <w:gridSpan w:val="2"/>
          </w:tcPr>
          <w:p>
            <w:pPr>
              <w:jc w:val="right"/>
              <w:ind w:right="844"/>
              <w:spacing w:after="0"/>
              <w:rPr>
                <w:sz w:val="20"/>
                <w:szCs w:val="20"/>
                <w:color w:val="auto"/>
              </w:rPr>
            </w:pPr>
            <w:r>
              <w:rPr>
                <w:rFonts w:ascii="Courier New" w:cs="Courier New" w:eastAsia="Courier New" w:hAnsi="Courier New"/>
                <w:sz w:val="15"/>
                <w:szCs w:val="15"/>
                <w:color w:val="auto"/>
              </w:rPr>
              <w:t>SEPTEMBER 30, 1997</w:t>
            </w:r>
          </w:p>
        </w:tc>
        <w:tc>
          <w:tcPr>
            <w:tcW w:w="2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SEPTEMBER 30, 1996</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33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PRIMARY</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FULLY</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PRIMARY</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FULLY</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DILUTED</w:t>
            </w:r>
          </w:p>
        </w:tc>
        <w:tc>
          <w:tcPr>
            <w:tcW w:w="1320" w:type="dxa"/>
            <w:vAlign w:val="bottom"/>
          </w:tcPr>
          <w:p>
            <w:pPr>
              <w:spacing w:after="0"/>
              <w:rPr>
                <w:sz w:val="15"/>
                <w:szCs w:val="15"/>
                <w:color w:val="auto"/>
              </w:rPr>
            </w:pP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DILUTED</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EARNINGS</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$13,331</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$13,331</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$10,506</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$10,506</w:t>
            </w:r>
          </w:p>
        </w:tc>
      </w:tr>
      <w:tr>
        <w:trPr>
          <w:trHeight w:val="176"/>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Less:</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1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(128)</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(128)</w:t>
            </w: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Preferred accretion</w:t>
            </w:r>
          </w:p>
        </w:tc>
        <w:tc>
          <w:tcPr>
            <w:tcW w:w="1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(119)</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(119)</w:t>
            </w: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earnings available to common</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3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shareholders</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$13,084</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$13,084</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$10,275</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$10,275</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WEIGHTED AVERAGE SHARES CALCULATION:</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52"/>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Number of common shares outstanding</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3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at beginning of period</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27,886</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27,886</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28,154</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28,154</w:t>
            </w:r>
          </w:p>
        </w:tc>
      </w:tr>
      <w:tr>
        <w:trPr>
          <w:trHeight w:val="352"/>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Weighted average shares</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3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Issued pursuant to employment contract</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Options exercised</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481</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481</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112</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w:t>
            </w:r>
          </w:p>
        </w:tc>
      </w:tr>
      <w:tr>
        <w:trPr>
          <w:trHeight w:val="176"/>
        </w:trPr>
        <w:tc>
          <w:tcPr>
            <w:tcW w:w="3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Shares repurchased</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(416)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352"/>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Assumed exercise of stock options, net</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3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 shares assumed acquired under the</w:t>
            </w:r>
          </w:p>
        </w:tc>
        <w:tc>
          <w:tcPr>
            <w:tcW w:w="1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3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Treasury Stock Method</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1,696</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1,708</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2,128</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2,242</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USED IN COMPUTING PER SHARE</w:t>
            </w:r>
          </w:p>
        </w:tc>
        <w:tc>
          <w:tcPr>
            <w:tcW w:w="1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1000" w:type="dxa"/>
            <w:vAlign w:val="bottom"/>
          </w:tcPr>
          <w:p>
            <w:pPr>
              <w:ind w:left="360"/>
              <w:spacing w:after="0"/>
              <w:rPr>
                <w:sz w:val="20"/>
                <w:szCs w:val="20"/>
                <w:color w:val="auto"/>
              </w:rPr>
            </w:pPr>
            <w:r>
              <w:rPr>
                <w:rFonts w:ascii="Courier New" w:cs="Courier New" w:eastAsia="Courier New" w:hAnsi="Courier New"/>
                <w:sz w:val="15"/>
                <w:szCs w:val="15"/>
                <w:color w:val="auto"/>
                <w:w w:val="98"/>
              </w:rPr>
              <w:t>AMOUNTS</w:t>
            </w: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30,064</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30,076</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29,978</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30,092</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WEIGHTED AVERAGE PER SHARE AMOUNTS</w:t>
            </w: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$0.44</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$0.44</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$0.34</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$0.34</w:t>
            </w:r>
          </w:p>
        </w:tc>
      </w:tr>
      <w:tr>
        <w:trPr>
          <w:trHeight w:val="176"/>
        </w:trPr>
        <w:tc>
          <w:tcPr>
            <w:tcW w:w="1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9"/>
              </w:rPr>
              <w:t>================</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sectPr>
      <w:pgSz w:w="11900" w:h="16838" w:orient="portrait"/>
      <w:cols w:equalWidth="0" w:num="1">
        <w:col w:w="10219"/>
      </w:cols>
      <w:pgMar w:left="240" w:top="494" w:right="1440" w:bottom="63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1."/>
      <w:numFmt w:val="decimal"/>
      <w:start w:val="4"/>
    </w:lvl>
    <w:lvl w:ilvl="1">
      <w:lvlJc w:val="left"/>
      <w:lvlText w:val="%2)"/>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upperLetter"/>
      <w:start w:val="1"/>
    </w:lvl>
  </w:abstractNum>
  <w:abstractNum w:abstractNumId="9">
    <w:nsid w:val="216231B"/>
    <w:multiLevelType w:val="hybridMultilevel"/>
    <w:lvl w:ilvl="0">
      <w:lvlJc w:val="left"/>
      <w:lvlText w:val="%1"/>
      <w:numFmt w:val="upperLetter"/>
      <w:start w:val="1"/>
    </w:lvl>
    <w:lvl w:ilvl="1">
      <w:lvlJc w:val="left"/>
      <w:lvlText w:val="%2"/>
      <w:numFmt w:val="decimal"/>
      <w:start w:val="11"/>
    </w:lvl>
  </w:abstractNum>
  <w:abstractNum w:abstractNumId="10">
    <w:nsid w:val="1F16E9E8"/>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2019-12-14T03:45:13Z</dcterms:created>
  <dcterms:modified xsi:type="dcterms:W3CDTF">2019-12-14T03:45:13Z</dcterms:modified>
</cp:coreProperties>
</file>