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0"/>
              <w:jc w:val="center"/>
              <w:rPr/>
            </w:pPr>
            <w:r>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8-K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0"/>
              <w:jc w:val="center"/>
              <w:rPr/>
            </w:pPr>
            <w:r>
              <w:rPr/>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July 23, 2026</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Date of report (Date of earliest event reported)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0"/>
              <w:jc w:val="center"/>
              <w:rPr/>
            </w:pPr>
            <w:r>
              <w:rPr/>
            </w:r>
          </w:p>
        </w:tc>
      </w:tr>
    </w:tbl>
    <w:p>
      <w:pPr>
        <w:pStyle w:val="TextBody"/>
        <w:bidi w:val="0"/>
        <w:spacing w:lineRule="auto" w:line="288" w:before="0" w:after="0"/>
        <w:jc w:val="center"/>
        <w:rPr>
          <w:rFonts w:ascii="Times New Roman;serif" w:hAnsi="Times New Roman;serif"/>
          <w:b/>
          <w:color w:val="000000"/>
          <w:sz w:val="43"/>
        </w:rPr>
      </w:pPr>
      <w:r>
        <w:rPr>
          <w:rFonts w:ascii="Times New Roman;serif" w:hAnsi="Times New Roman;serif"/>
          <w:b/>
          <w:color w:val="000000"/>
          <w:sz w:val="43"/>
        </w:rPr>
        <w:t>IMAX Corporation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0"/>
              <w:jc w:val="center"/>
              <w:rPr/>
            </w:pPr>
            <w:r>
              <w:rPr/>
            </w:r>
          </w:p>
        </w:tc>
      </w:tr>
    </w:tbl>
    <w:p>
      <w:pPr>
        <w:pStyle w:val="TextBody"/>
        <w:bidi w:val="0"/>
        <w:spacing w:before="0" w:after="0"/>
        <w:jc w:val="left"/>
        <w:rPr/>
      </w:pPr>
      <w:r>
        <w:rPr/>
      </w:r>
    </w:p>
    <w:tbl>
      <w:tblPr>
        <w:tblW w:w="4823" w:type="dxa"/>
        <w:jc w:val="left"/>
        <w:tblInd w:w="0" w:type="dxa"/>
        <w:tblLayout w:type="fixed"/>
        <w:tblCellMar>
          <w:top w:w="28" w:type="dxa"/>
          <w:left w:w="28" w:type="dxa"/>
          <w:bottom w:w="28" w:type="dxa"/>
          <w:right w:w="28" w:type="dxa"/>
        </w:tblCellMar>
      </w:tblPr>
      <w:tblGrid>
        <w:gridCol w:w="638"/>
        <w:gridCol w:w="562"/>
        <w:gridCol w:w="569"/>
        <w:gridCol w:w="109"/>
        <w:gridCol w:w="109"/>
        <w:gridCol w:w="109"/>
        <w:gridCol w:w="294"/>
        <w:gridCol w:w="294"/>
        <w:gridCol w:w="298"/>
        <w:gridCol w:w="109"/>
        <w:gridCol w:w="109"/>
        <w:gridCol w:w="109"/>
        <w:gridCol w:w="442"/>
        <w:gridCol w:w="442"/>
        <w:gridCol w:w="630"/>
      </w:tblGrid>
      <w:tr>
        <w:trPr/>
        <w:tc>
          <w:tcPr>
            <w:tcW w:w="63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001-35066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98-0140269</w:t>
            </w:r>
          </w:p>
        </w:tc>
      </w:tr>
      <w:tr>
        <w:trPr/>
        <w:tc>
          <w:tcPr>
            <w:tcW w:w="17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(State or Other Jurisdiction</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(Commission</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(I.R.S. Employer</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Identification Number)</w:t>
            </w:r>
          </w:p>
        </w:tc>
      </w:tr>
    </w:tbl>
    <w:p>
      <w:pPr>
        <w:pStyle w:val="TextBody"/>
        <w:bidi w:val="0"/>
        <w:spacing w:before="0" w:after="0"/>
        <w:jc w:val="left"/>
        <w:rPr/>
      </w:pPr>
      <w:r>
        <w:rPr/>
      </w:r>
    </w:p>
    <w:tbl>
      <w:tblPr>
        <w:tblW w:w="5968" w:type="dxa"/>
        <w:jc w:val="left"/>
        <w:tblInd w:w="0" w:type="dxa"/>
        <w:tblLayout w:type="fixed"/>
        <w:tblCellMar>
          <w:top w:w="28" w:type="dxa"/>
          <w:left w:w="28" w:type="dxa"/>
          <w:bottom w:w="28" w:type="dxa"/>
          <w:right w:w="28" w:type="dxa"/>
        </w:tblCellMar>
      </w:tblPr>
      <w:tblGrid>
        <w:gridCol w:w="1150"/>
        <w:gridCol w:w="1011"/>
        <w:gridCol w:w="1018"/>
        <w:gridCol w:w="816"/>
        <w:gridCol w:w="816"/>
        <w:gridCol w:w="1157"/>
      </w:tblGrid>
      <w:tr>
        <w:trPr/>
        <w:tc>
          <w:tcPr>
            <w:tcW w:w="1150"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2525 Speakman Drive</w:t>
            </w:r>
          </w:p>
        </w:tc>
        <w:tc>
          <w:tcPr>
            <w:tcW w:w="27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902 Broadway, Floor 20</w:t>
            </w:r>
          </w:p>
        </w:tc>
      </w:tr>
      <w:tr>
        <w:trPr/>
        <w:tc>
          <w:tcPr>
            <w:tcW w:w="31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Mississauga, Ontario, Canada L5K 1B1</w:t>
            </w:r>
          </w:p>
        </w:tc>
        <w:tc>
          <w:tcPr>
            <w:tcW w:w="27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New York, New York, USA 10010</w:t>
            </w:r>
          </w:p>
        </w:tc>
      </w:tr>
      <w:tr>
        <w:trPr/>
        <w:tc>
          <w:tcPr>
            <w:tcW w:w="31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(905) 403-6457</w:t>
            </w:r>
          </w:p>
        </w:tc>
        <w:tc>
          <w:tcPr>
            <w:tcW w:w="27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(212) 821-0142</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 telephone numbers)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0"/>
              <w:jc w:val="center"/>
              <w:rPr/>
            </w:pPr>
            <w:r>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212529"/>
              </w:rPr>
            </w:pPr>
            <w:r>
              <w:rPr>
                <w:color w:val="212529"/>
              </w:rPr>
              <w:t>☐</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212529"/>
              </w:rPr>
            </w:pPr>
            <w:r>
              <w:rPr>
                <w:color w:val="212529"/>
              </w:rPr>
              <w:t>☐</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212529"/>
              </w:rPr>
            </w:pPr>
            <w:r>
              <w:rPr>
                <w:color w:val="212529"/>
              </w:rPr>
              <w:t>☐</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212529"/>
              </w:rPr>
            </w:pPr>
            <w:r>
              <w:rPr>
                <w:color w:val="212529"/>
              </w:rPr>
              <w:t>☐</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p>
      <w:pPr>
        <w:pStyle w:val="TextBody"/>
        <w:bidi w:val="0"/>
        <w:spacing w:before="0" w:after="0"/>
        <w:jc w:val="left"/>
        <w:rPr/>
      </w:pPr>
      <w:r>
        <w:rPr/>
      </w:r>
    </w:p>
    <w:tbl>
      <w:tblPr>
        <w:tblW w:w="6501" w:type="dxa"/>
        <w:jc w:val="left"/>
        <w:tblInd w:w="0" w:type="dxa"/>
        <w:tblLayout w:type="fixed"/>
        <w:tblCellMar>
          <w:top w:w="28" w:type="dxa"/>
          <w:left w:w="28" w:type="dxa"/>
          <w:bottom w:w="28" w:type="dxa"/>
          <w:right w:w="28" w:type="dxa"/>
        </w:tblCellMar>
      </w:tblPr>
      <w:tblGrid>
        <w:gridCol w:w="889"/>
        <w:gridCol w:w="780"/>
        <w:gridCol w:w="790"/>
        <w:gridCol w:w="109"/>
        <w:gridCol w:w="109"/>
        <w:gridCol w:w="109"/>
        <w:gridCol w:w="274"/>
        <w:gridCol w:w="274"/>
        <w:gridCol w:w="276"/>
        <w:gridCol w:w="109"/>
        <w:gridCol w:w="109"/>
        <w:gridCol w:w="109"/>
        <w:gridCol w:w="750"/>
        <w:gridCol w:w="750"/>
        <w:gridCol w:w="1064"/>
      </w:tblGrid>
      <w:tr>
        <w:trPr/>
        <w:tc>
          <w:tcPr>
            <w:tcW w:w="88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2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 Shares, no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IMAX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The New York Stock Exchange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 240.12b-2 of this chapter):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Emerging growth company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On July 23, 2026, IMAX Corporation (the “Company”) issued a press release announcing the Company’s financial and operating results for the quarter ended June 30, 2026, a copy of which is attached as Exhibit 99.1.</w:t>
      </w:r>
    </w:p>
    <w:p>
      <w:pPr>
        <w:pStyle w:val="TextBody"/>
        <w:bidi w:val="0"/>
        <w:spacing w:before="0" w:after="0"/>
        <w:jc w:val="both"/>
        <w:rPr/>
      </w:pPr>
      <w:r>
        <w:rPr/>
      </w:r>
    </w:p>
    <w:p>
      <w:pPr>
        <w:pStyle w:val="TextBody"/>
        <w:bidi w:val="0"/>
        <w:spacing w:lineRule="auto" w:line="288" w:before="0" w:after="0"/>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in this current report on Form 8-K, including the Exhibit attached hereto, is being furnished and shall not be deemed “filed” for purposes of Section 18 of the Securities Exchange Act of 1934, as amended (the “Exchange Act”), or otherwise subject to the liabilities of that section, nor shall it be incorporated by reference in any filing under the Securities Act of 1933, as amended, or the Exchange Act, except as shall be expressly set forth by specific reference in such filing.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ind w:left="0" w:right="0" w:firstLine="490"/>
        <w:jc w:val="both"/>
        <w:rPr>
          <w:rFonts w:ascii="Times New Roman;serif" w:hAnsi="Times New Roman;serif"/>
          <w:b/>
          <w:i/>
          <w:color w:val="000000"/>
          <w:sz w:val="20"/>
        </w:rPr>
      </w:pPr>
      <w:r>
        <w:rPr>
          <w:rFonts w:ascii="Times New Roman;serif" w:hAnsi="Times New Roman;serif"/>
          <w:b/>
          <w:i/>
          <w:color w:val="000000"/>
          <w:sz w:val="20"/>
        </w:rPr>
        <w:t>Exhibits</w:t>
      </w:r>
    </w:p>
    <w:p>
      <w:pPr>
        <w:pStyle w:val="TextBody"/>
        <w:bidi w:val="0"/>
        <w:spacing w:before="0" w:after="0"/>
        <w:jc w:val="left"/>
        <w:rPr/>
      </w:pPr>
      <w:r>
        <w:rPr/>
      </w:r>
    </w:p>
    <w:tbl>
      <w:tblPr>
        <w:tblW w:w="6042"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1480"/>
        <w:gridCol w:w="1480"/>
        <w:gridCol w:w="2109"/>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u w:val="single"/>
              </w:rPr>
            </w:pPr>
            <w:r>
              <w:rPr>
                <w:rFonts w:ascii="Times New Roman;serif" w:hAnsi="Times New Roman;serif"/>
                <w:b/>
                <w:color w:val="000000"/>
                <w:sz w:val="16"/>
                <w:u w:val="single"/>
              </w:rPr>
              <w:t>Description</w:t>
            </w:r>
          </w:p>
        </w:tc>
      </w:tr>
      <w:tr>
        <w:trPr/>
        <w:tc>
          <w:tcPr>
            <w:tcW w:w="6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max-q22026epr.htm">
              <w:r>
                <w:rPr>
                  <w:rStyle w:val="InternetLink"/>
                  <w:rFonts w:ascii="Times New Roman;serif" w:hAnsi="Times New Roman;serif"/>
                  <w:b w:val="false"/>
                  <w:color w:val="0000FF"/>
                  <w:sz w:val="20"/>
                  <w:u w:val="single"/>
                </w:rPr>
                <w:t>Press Release dated July 23, 2026</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lineRule="auto" w:line="288" w:before="0" w:after="0"/>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5510" w:type="dxa"/>
        <w:jc w:val="left"/>
        <w:tblInd w:w="0" w:type="dxa"/>
        <w:tblLayout w:type="fixed"/>
        <w:tblCellMar>
          <w:top w:w="28" w:type="dxa"/>
          <w:left w:w="28" w:type="dxa"/>
          <w:bottom w:w="28" w:type="dxa"/>
          <w:right w:w="28" w:type="dxa"/>
        </w:tblCellMar>
      </w:tblPr>
      <w:tblGrid>
        <w:gridCol w:w="618"/>
        <w:gridCol w:w="544"/>
        <w:gridCol w:w="547"/>
        <w:gridCol w:w="277"/>
        <w:gridCol w:w="277"/>
        <w:gridCol w:w="277"/>
        <w:gridCol w:w="864"/>
        <w:gridCol w:w="864"/>
        <w:gridCol w:w="1242"/>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IMAX Corporation</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23, 2026</w:t>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9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Richard L. Gelfond</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Richard L. Gelfond</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9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&amp; Director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ind w:left="0" w:right="0" w:firstLine="72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both"/>
        <w:rPr/>
      </w:pPr>
      <w:r>
        <w:rPr/>
        <w:drawing>
          <wp:inline distT="0" distB="0" distL="0" distR="0">
            <wp:extent cx="1666875" cy="3143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666875" cy="314325"/>
                    </a:xfrm>
                    <a:prstGeom prst="rect">
                      <a:avLst/>
                    </a:prstGeom>
                  </pic:spPr>
                </pic:pic>
              </a:graphicData>
            </a:graphic>
          </wp:inline>
        </w:drawing>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7"/>
        </w:rPr>
      </w:pPr>
      <w:r>
        <w:rPr>
          <w:rFonts w:ascii="Times New Roman;serif" w:hAnsi="Times New Roman;serif"/>
          <w:b/>
          <w:color w:val="000000"/>
          <w:sz w:val="27"/>
        </w:rPr>
        <w:t>IMAX CORPORATION REPORTS SECOND QUARTER 2026 RESULTS</w:t>
      </w:r>
    </w:p>
    <w:p>
      <w:pPr>
        <w:pStyle w:val="TextBody"/>
        <w:bidi w:val="0"/>
        <w:spacing w:before="0" w:after="0"/>
        <w:jc w:val="both"/>
        <w:rPr/>
      </w:pPr>
      <w:r>
        <w:rPr/>
      </w:r>
    </w:p>
    <w:p>
      <w:pPr>
        <w:pStyle w:val="TextBody"/>
        <w:bidi w:val="0"/>
        <w:spacing w:before="0" w:after="0"/>
        <w:ind w:left="0" w:right="0" w:hanging="72"/>
        <w:jc w:val="both"/>
        <w:rPr/>
      </w:pPr>
      <w:r>
        <w:rPr/>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Underscoring the power of its global platform, IMAX exceeds consensus expectations and posts strong year-over-year growth for the second quarter across key metrics: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Revenue of $103 million, up 12% year-over-year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Strong operating profitability with Net Income margin of 15.5% and Adjusted EBITDA</w:t>
      </w:r>
      <w:r>
        <w:rPr>
          <w:rFonts w:ascii="Times New Roman;serif" w:hAnsi="Times New Roman;serif"/>
          <w:b w:val="false"/>
          <w:color w:val="000000"/>
          <w:sz w:val="13"/>
        </w:rPr>
        <w:t xml:space="preserve">(3) </w:t>
      </w:r>
      <w:r>
        <w:rPr>
          <w:rFonts w:ascii="Times New Roman;serif" w:hAnsi="Times New Roman;serif"/>
          <w:b w:val="false"/>
          <w:color w:val="000000"/>
          <w:sz w:val="20"/>
        </w:rPr>
        <w:t>margin of 46.6%</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Net income per diluted share of 27 cents, up 35% year-over year and record Q2 Adjusted EPS</w:t>
      </w:r>
      <w:r>
        <w:rPr>
          <w:rFonts w:ascii="Times New Roman;serif" w:hAnsi="Times New Roman;serif"/>
          <w:b w:val="false"/>
          <w:color w:val="000000"/>
          <w:sz w:val="13"/>
        </w:rPr>
        <w:t xml:space="preserve">(2,3) </w:t>
      </w:r>
      <w:r>
        <w:rPr>
          <w:rFonts w:ascii="Times New Roman;serif" w:hAnsi="Times New Roman;serif"/>
          <w:b w:val="false"/>
          <w:color w:val="000000"/>
          <w:sz w:val="20"/>
        </w:rPr>
        <w:t>of 43 cents, up 65% year-over-year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Year-to-date Cash from Operating Activities of $36 million, up 19% year-over-year</w:t>
      </w:r>
    </w:p>
    <w:p>
      <w:pPr>
        <w:pStyle w:val="TextBody"/>
        <w:bidi w:val="0"/>
        <w:spacing w:before="0" w:after="0"/>
        <w:jc w:val="left"/>
        <w:rPr/>
      </w:pPr>
      <w:r>
        <w:rPr/>
      </w:r>
    </w:p>
    <w:p>
      <w:pPr>
        <w:pStyle w:val="TextBody"/>
        <w:bidi w:val="0"/>
        <w:spacing w:lineRule="auto" w:line="288" w:before="0" w:after="0"/>
        <w:ind w:left="0" w:right="0" w:hanging="432"/>
        <w:jc w:val="both"/>
        <w:rPr/>
      </w:pPr>
      <w:r>
        <w:rPr>
          <w:color w:val="000000"/>
        </w:rPr>
        <w:t>•</w:t>
      </w:r>
      <w:r>
        <w:rPr>
          <w:rFonts w:ascii="Times New Roman;serif" w:hAnsi="Times New Roman;serif"/>
          <w:b w:val="false"/>
          <w:color w:val="000000"/>
          <w:sz w:val="20"/>
        </w:rPr>
        <w:t>Amidst worldwide fan frenzy for IMAX, the Company delivers 20% of the global box office in record-breaking $52 million</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opening weekend of Christopher Nolan’s </w:t>
      </w:r>
      <w:r>
        <w:rPr>
          <w:rFonts w:ascii="Times New Roman;serif" w:hAnsi="Times New Roman;serif"/>
          <w:b w:val="false"/>
          <w:i/>
          <w:color w:val="000000"/>
          <w:sz w:val="20"/>
        </w:rPr>
        <w:t>The Odyssey</w:t>
      </w:r>
      <w:r>
        <w:rPr>
          <w:color w:val="000000"/>
        </w:rPr>
        <w:t xml:space="preserve"> – </w:t>
      </w:r>
      <w:r>
        <w:rPr>
          <w:rFonts w:ascii="Times New Roman;serif" w:hAnsi="Times New Roman;serif"/>
          <w:b w:val="false"/>
          <w:color w:val="000000"/>
          <w:sz w:val="20"/>
        </w:rPr>
        <w:t>the first full-length theatrical release ever shot entirely with IMAX film cameras</w:t>
      </w:r>
    </w:p>
    <w:p>
      <w:pPr>
        <w:pStyle w:val="TextBody"/>
        <w:bidi w:val="0"/>
        <w:spacing w:before="0" w:after="0"/>
        <w:ind w:left="0" w:right="0" w:hanging="72"/>
        <w:jc w:val="both"/>
        <w:rPr/>
      </w:pPr>
      <w:r>
        <w:rPr/>
      </w:r>
    </w:p>
    <w:p>
      <w:pPr>
        <w:pStyle w:val="TextBody"/>
        <w:bidi w:val="0"/>
        <w:spacing w:lineRule="auto" w:line="288" w:before="0" w:after="0"/>
        <w:ind w:left="0" w:right="0" w:hanging="432"/>
        <w:jc w:val="both"/>
        <w:rPr/>
      </w:pPr>
      <w:r>
        <w:rPr>
          <w:color w:val="000000"/>
        </w:rPr>
        <w:t>•</w:t>
      </w:r>
      <w:r>
        <w:rPr>
          <w:rFonts w:ascii="Times New Roman;serif" w:hAnsi="Times New Roman;serif"/>
          <w:b w:val="false"/>
          <w:color w:val="000000"/>
          <w:sz w:val="20"/>
        </w:rPr>
        <w:t xml:space="preserve">Record-breaking box office holds indicate historic IMAX run ahead for </w:t>
      </w:r>
      <w:r>
        <w:rPr>
          <w:rFonts w:ascii="Times New Roman;serif" w:hAnsi="Times New Roman;serif"/>
          <w:b w:val="false"/>
          <w:i/>
          <w:color w:val="000000"/>
          <w:sz w:val="20"/>
        </w:rPr>
        <w:t>The Odyssey</w:t>
      </w:r>
      <w:r>
        <w:rPr>
          <w:rFonts w:ascii="Times New Roman;serif" w:hAnsi="Times New Roman;serif"/>
          <w:b w:val="false"/>
          <w:color w:val="000000"/>
          <w:sz w:val="20"/>
        </w:rPr>
        <w:t>, with the Company achieving its highest grossing Monday and Tuesday ever and approximately $60 million in presales for future showtimes</w:t>
      </w:r>
    </w:p>
    <w:p>
      <w:pPr>
        <w:pStyle w:val="TextBody"/>
        <w:bidi w:val="0"/>
        <w:spacing w:before="0" w:after="0"/>
        <w:ind w:left="0" w:right="0" w:hanging="72"/>
        <w:jc w:val="both"/>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Network growth momentum continues, with highest Q2 installations (38) in a decade, and International excluding China network expansion of 9% year-over-year</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The Odyssey</w:t>
      </w:r>
      <w:r>
        <w:rPr>
          <w:color w:val="000000"/>
        </w:rPr>
        <w:t xml:space="preserve"> </w:t>
      </w:r>
      <w:r>
        <w:rPr>
          <w:rFonts w:ascii="Times New Roman;serif" w:hAnsi="Times New Roman;serif"/>
          <w:b w:val="false"/>
          <w:color w:val="000000"/>
          <w:sz w:val="20"/>
        </w:rPr>
        <w:t xml:space="preserve">kicks off a stellar second half 2026 slate culminating with Denis Villeneuve’s </w:t>
      </w:r>
      <w:r>
        <w:rPr>
          <w:rFonts w:ascii="Times New Roman;serif" w:hAnsi="Times New Roman;serif"/>
          <w:b w:val="false"/>
          <w:i/>
          <w:color w:val="000000"/>
          <w:sz w:val="20"/>
        </w:rPr>
        <w:t>Dune: Part Three</w:t>
      </w:r>
      <w:r>
        <w:rPr>
          <w:color w:val="000000"/>
        </w:rPr>
        <w:t xml:space="preserve"> </w:t>
      </w:r>
      <w:r>
        <w:rPr>
          <w:rFonts w:ascii="Times New Roman;serif" w:hAnsi="Times New Roman;serif"/>
          <w:b w:val="false"/>
          <w:color w:val="000000"/>
          <w:sz w:val="20"/>
        </w:rPr>
        <w:t xml:space="preserve">and including </w:t>
      </w:r>
      <w:r>
        <w:rPr>
          <w:rFonts w:ascii="Times New Roman;serif" w:hAnsi="Times New Roman;serif"/>
          <w:b w:val="false"/>
          <w:i/>
          <w:color w:val="000000"/>
          <w:sz w:val="20"/>
        </w:rPr>
        <w:t>Spider-man: Brand New Day</w:t>
      </w:r>
      <w:r>
        <w:rPr>
          <w:color w:val="000000"/>
        </w:rPr>
        <w:t xml:space="preserve"> </w:t>
      </w:r>
      <w:r>
        <w:rPr>
          <w:rFonts w:ascii="Times New Roman;serif" w:hAnsi="Times New Roman;serif"/>
          <w:b w:val="false"/>
          <w:color w:val="000000"/>
          <w:sz w:val="20"/>
        </w:rPr>
        <w:t xml:space="preserve">(China, Japan and South Korea), Tom Cruise’s </w:t>
      </w:r>
      <w:r>
        <w:rPr>
          <w:rFonts w:ascii="Times New Roman;serif" w:hAnsi="Times New Roman;serif"/>
          <w:b w:val="false"/>
          <w:i/>
          <w:color w:val="000000"/>
          <w:sz w:val="20"/>
        </w:rPr>
        <w:t>Digger</w:t>
      </w:r>
      <w:r>
        <w:rPr>
          <w:rFonts w:ascii="Times New Roman;serif" w:hAnsi="Times New Roman;serif"/>
          <w:b w:val="false"/>
          <w:i/>
          <w:color w:val="000000"/>
          <w:sz w:val="24"/>
        </w:rPr>
        <w:t>,</w:t>
      </w:r>
      <w:r>
        <w:rPr>
          <w:color w:val="000000"/>
        </w:rPr>
        <w:t xml:space="preserve"> </w:t>
      </w:r>
      <w:r>
        <w:rPr>
          <w:rFonts w:ascii="Times New Roman;serif" w:hAnsi="Times New Roman;serif"/>
          <w:b w:val="false"/>
          <w:color w:val="000000"/>
          <w:sz w:val="20"/>
        </w:rPr>
        <w:t xml:space="preserve">and the IMAX-exclusive theatrical release of Netflix’s </w:t>
      </w:r>
      <w:r>
        <w:rPr>
          <w:rFonts w:ascii="Times New Roman;serif" w:hAnsi="Times New Roman;serif"/>
          <w:b w:val="false"/>
          <w:i/>
          <w:color w:val="000000"/>
          <w:sz w:val="20"/>
        </w:rPr>
        <w:t>Cliff Booth</w:t>
      </w:r>
      <w:r>
        <w:rPr>
          <w:color w:val="000000"/>
        </w:rPr>
        <w:t xml:space="preserve"> </w:t>
      </w:r>
      <w:r>
        <w:rPr>
          <w:rFonts w:ascii="Times New Roman;serif" w:hAnsi="Times New Roman;serif"/>
          <w:b w:val="false"/>
          <w:color w:val="000000"/>
          <w:sz w:val="20"/>
        </w:rPr>
        <w:t>project, along with multiple local language blockbusters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 xml:space="preserve">NEW YORK, NY — </w:t>
      </w:r>
      <w:r>
        <w:rPr>
          <w:rFonts w:ascii="Times New Roman;serif" w:hAnsi="Times New Roman;serif"/>
          <w:b w:val="false"/>
          <w:color w:val="000000"/>
          <w:sz w:val="20"/>
        </w:rPr>
        <w:t>July 23, 2026</w:t>
      </w:r>
      <w:r>
        <w:rPr>
          <w:color w:val="000000"/>
        </w:rPr>
        <w:t xml:space="preserve"> — </w:t>
      </w:r>
      <w:r>
        <w:rPr>
          <w:rFonts w:ascii="Times New Roman;serif" w:hAnsi="Times New Roman;serif"/>
          <w:b w:val="false"/>
          <w:color w:val="000000"/>
          <w:sz w:val="20"/>
        </w:rPr>
        <w:t xml:space="preserve">IMAX Corporation (NYSE: IMAX) today reported strong financial results for the second quarter of 2026, demonstrating the value of its unique global entertainment platform and broad content portfolio. </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val="false"/>
          <w:color w:val="000000"/>
          <w:sz w:val="20"/>
        </w:rPr>
        <w:t xml:space="preserve">As we enter the second half of 2026, Christopher Nolan’s breathtaking </w:t>
      </w:r>
      <w:r>
        <w:rPr>
          <w:rFonts w:ascii="Times New Roman;serif" w:hAnsi="Times New Roman;serif"/>
          <w:b w:val="false"/>
          <w:i/>
          <w:color w:val="000000"/>
          <w:sz w:val="20"/>
        </w:rPr>
        <w:t>The Odyssey</w:t>
      </w:r>
      <w:r>
        <w:rPr>
          <w:color w:val="000000"/>
        </w:rPr>
        <w:t xml:space="preserve"> — </w:t>
      </w:r>
      <w:r>
        <w:rPr>
          <w:rFonts w:ascii="Times New Roman;serif" w:hAnsi="Times New Roman;serif"/>
          <w:b w:val="false"/>
          <w:color w:val="000000"/>
          <w:sz w:val="20"/>
        </w:rPr>
        <w:t xml:space="preserve">the first-ever full-length theatrical release filmed entirely with IMAX film cameras — is emerging as a transformational event for IMAX, as the purest and most complete expression yet of the power of our global platform,” said Rich Gelfond, CEO of IMAX. “In its debut, </w:t>
      </w:r>
      <w:r>
        <w:rPr>
          <w:rFonts w:ascii="Times New Roman;serif" w:hAnsi="Times New Roman;serif"/>
          <w:b w:val="false"/>
          <w:i/>
          <w:color w:val="000000"/>
          <w:sz w:val="20"/>
        </w:rPr>
        <w:t>The Odyssey</w:t>
      </w:r>
      <w:r>
        <w:rPr>
          <w:color w:val="000000"/>
        </w:rPr>
        <w:t xml:space="preserve"> </w:t>
      </w:r>
      <w:r>
        <w:rPr>
          <w:rFonts w:ascii="Times New Roman;serif" w:hAnsi="Times New Roman;serif"/>
          <w:b w:val="false"/>
          <w:color w:val="000000"/>
          <w:sz w:val="20"/>
        </w:rPr>
        <w:t>achieved the biggest IMAX opening weekend of all time in like-for-like markets</w:t>
      </w:r>
      <w:r>
        <w:rPr>
          <w:rFonts w:ascii="Times New Roman;serif" w:hAnsi="Times New Roman;serif"/>
          <w:b w:val="false"/>
          <w:color w:val="000000"/>
          <w:sz w:val="13"/>
        </w:rPr>
        <w:t xml:space="preserve">(1) </w:t>
      </w:r>
      <w:r>
        <w:rPr>
          <w:rFonts w:ascii="Times New Roman;serif" w:hAnsi="Times New Roman;serif"/>
          <w:b w:val="false"/>
          <w:color w:val="000000"/>
          <w:sz w:val="20"/>
        </w:rPr>
        <w:t>and delivered the highest IMAX international market share in like-for-like markets of any major release in our history.”</w:t>
      </w:r>
    </w:p>
    <w:p>
      <w:pPr>
        <w:pStyle w:val="TextBody"/>
        <w:bidi w:val="0"/>
        <w:spacing w:before="0" w:after="0"/>
        <w:jc w:val="left"/>
        <w:rPr/>
      </w:pPr>
      <w:r>
        <w:rPr/>
      </w:r>
    </w:p>
    <w:p>
      <w:pPr>
        <w:pStyle w:val="TextBody"/>
        <w:bidi w:val="0"/>
        <w:spacing w:lineRule="auto" w:line="288" w:before="0" w:after="0"/>
        <w:jc w:val="both"/>
        <w:rPr/>
      </w:pPr>
      <w:r>
        <w:rPr>
          <w:color w:val="000000"/>
        </w:rPr>
        <w:t>“</w:t>
      </w:r>
      <w:r>
        <w:rPr>
          <w:rFonts w:ascii="Times New Roman;serif" w:hAnsi="Times New Roman;serif"/>
          <w:b w:val="false"/>
          <w:i/>
          <w:color w:val="000000"/>
          <w:sz w:val="20"/>
        </w:rPr>
        <w:t>The Odyssey</w:t>
      </w:r>
      <w:r>
        <w:rPr>
          <w:color w:val="000000"/>
        </w:rPr>
        <w:t xml:space="preserve"> </w:t>
      </w:r>
      <w:r>
        <w:rPr>
          <w:rFonts w:ascii="Times New Roman;serif" w:hAnsi="Times New Roman;serif"/>
          <w:b w:val="false"/>
          <w:color w:val="000000"/>
          <w:sz w:val="20"/>
        </w:rPr>
        <w:t xml:space="preserve">has the potential to impact our business in many ways that are clear — and many ways we can’t yet predict, as its success on our platform reverberates across the creative community, and throughout the entertainment landscape. In the near-term, the film gives us excellent momentum as we enter the second half of the year, with a strong slate that culminates with </w:t>
      </w:r>
      <w:r>
        <w:rPr>
          <w:rFonts w:ascii="Times New Roman;serif" w:hAnsi="Times New Roman;serif"/>
          <w:b w:val="false"/>
          <w:i/>
          <w:color w:val="000000"/>
          <w:sz w:val="20"/>
        </w:rPr>
        <w:t>Dune: Part Three</w:t>
      </w:r>
      <w:r>
        <w:rPr>
          <w:rFonts w:ascii="Times New Roman;serif" w:hAnsi="Times New Roman;serif"/>
          <w:b w:val="false"/>
          <w:color w:val="000000"/>
          <w:sz w:val="20"/>
        </w:rPr>
        <w:t>, which was also shot with IMAX film cameras and will be presented in IMAX 70mm film.”</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We are very pleased with our strong results for the second quarter — in which we handily beat consensus estimates across key financial metrics — and look forward to building on our momentum to deliver global box office growth, network expansion worldwide, new opportunities for our brand and continued value for our shareholders.”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0" w:after="0"/>
        <w:ind w:left="0" w:right="0" w:hanging="360"/>
        <w:jc w:val="both"/>
        <w:rPr/>
      </w:pPr>
      <w:r>
        <w:rPr>
          <w:rFonts w:ascii="Times New Roman;serif" w:hAnsi="Times New Roman;serif"/>
          <w:b w:val="false"/>
          <w:i/>
          <w:color w:val="000000"/>
          <w:sz w:val="20"/>
        </w:rPr>
        <w:t>(1)</w:t>
      </w:r>
      <w:r>
        <w:rPr>
          <w:rFonts w:ascii="Times New Roman;serif" w:hAnsi="Times New Roman;serif"/>
          <w:b w:val="false"/>
          <w:i/>
          <w:color w:val="000000"/>
          <w:sz w:val="16"/>
        </w:rPr>
        <w:t>IMAX global box office for The Odyssey does not include box office in South Korea, Mainland China and Japan which open The Odyssey on Aug 5, Aug 14 and Sep 11, respectively.</w:t>
      </w:r>
    </w:p>
    <w:p>
      <w:pPr>
        <w:pStyle w:val="TextBody"/>
        <w:bidi w:val="0"/>
        <w:spacing w:lineRule="auto" w:line="288" w:before="0" w:after="0"/>
        <w:ind w:left="0" w:right="0" w:hanging="360"/>
        <w:jc w:val="both"/>
        <w:rPr/>
      </w:pPr>
      <w:r>
        <w:rPr>
          <w:rFonts w:ascii="Times New Roman;serif" w:hAnsi="Times New Roman;serif"/>
          <w:b w:val="false"/>
          <w:i/>
          <w:color w:val="000000"/>
          <w:sz w:val="20"/>
        </w:rPr>
        <w:t>(2)</w:t>
      </w:r>
      <w:r>
        <w:rPr>
          <w:rFonts w:ascii="Times New Roman;serif" w:hAnsi="Times New Roman;serif"/>
          <w:b w:val="false"/>
          <w:i/>
          <w:color w:val="000000"/>
          <w:sz w:val="16"/>
        </w:rPr>
        <w:t>Attributable to common shareholders.</w:t>
      </w:r>
    </w:p>
    <w:p>
      <w:pPr>
        <w:pStyle w:val="TextBody"/>
        <w:bidi w:val="0"/>
        <w:spacing w:lineRule="auto" w:line="288" w:before="0" w:after="0"/>
        <w:ind w:left="0" w:right="0" w:hanging="360"/>
        <w:jc w:val="both"/>
        <w:rPr/>
      </w:pPr>
      <w:r>
        <w:rPr>
          <w:rFonts w:ascii="Times New Roman;serif" w:hAnsi="Times New Roman;serif"/>
          <w:b w:val="false"/>
          <w:i/>
          <w:color w:val="000000"/>
          <w:sz w:val="20"/>
        </w:rPr>
        <w:t>(3)</w:t>
      </w:r>
      <w:r>
        <w:rPr>
          <w:rFonts w:ascii="Times New Roman;serif" w:hAnsi="Times New Roman;serif"/>
          <w:b w:val="false"/>
          <w:i/>
          <w:color w:val="000000"/>
          <w:sz w:val="16"/>
        </w:rPr>
        <w:t>Non-GAAP Financial Measure. See the discussion at the end of this earnings release for a description of the non-GAAP financial measures used herein, as well as reconciliations to the most comparable GAAP amounts.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Second Quarter Financial Highlights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51"/>
        <w:gridCol w:w="327"/>
        <w:gridCol w:w="329"/>
        <w:gridCol w:w="222"/>
        <w:gridCol w:w="649"/>
        <w:gridCol w:w="285"/>
        <w:gridCol w:w="114"/>
        <w:gridCol w:w="114"/>
        <w:gridCol w:w="114"/>
        <w:gridCol w:w="222"/>
        <w:gridCol w:w="538"/>
        <w:gridCol w:w="285"/>
        <w:gridCol w:w="114"/>
        <w:gridCol w:w="114"/>
        <w:gridCol w:w="114"/>
        <w:gridCol w:w="221"/>
        <w:gridCol w:w="222"/>
        <w:gridCol w:w="447"/>
        <w:gridCol w:w="114"/>
        <w:gridCol w:w="114"/>
        <w:gridCol w:w="114"/>
        <w:gridCol w:w="222"/>
        <w:gridCol w:w="649"/>
        <w:gridCol w:w="285"/>
        <w:gridCol w:w="114"/>
        <w:gridCol w:w="114"/>
        <w:gridCol w:w="114"/>
        <w:gridCol w:w="222"/>
        <w:gridCol w:w="649"/>
        <w:gridCol w:w="285"/>
        <w:gridCol w:w="114"/>
        <w:gridCol w:w="114"/>
        <w:gridCol w:w="114"/>
        <w:gridCol w:w="198"/>
        <w:gridCol w:w="198"/>
        <w:gridCol w:w="467"/>
        <w:gridCol w:w="109"/>
        <w:gridCol w:w="109"/>
        <w:gridCol w:w="109"/>
        <w:gridCol w:w="109"/>
        <w:gridCol w:w="109"/>
        <w:gridCol w:w="177"/>
      </w:tblGrid>
      <w:tr>
        <w:trPr/>
        <w:tc>
          <w:tcPr>
            <w:tcW w:w="85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5"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Three Months Ended June 30,</w:t>
            </w:r>
          </w:p>
          <w:p>
            <w:pPr>
              <w:pStyle w:val="TableContents"/>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(Unaudited)</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9"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Six Months Ended June 30,</w:t>
            </w:r>
          </w:p>
          <w:p>
            <w:pPr>
              <w:pStyle w:val="TableContents"/>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gridSpan w:val="4"/>
            <w:tcBorders/>
          </w:tcPr>
          <w:p>
            <w:pPr>
              <w:pStyle w:val="TableContents"/>
              <w:bidi w:val="0"/>
              <w:spacing w:before="0" w:after="283"/>
              <w:jc w:val="left"/>
              <w:rPr>
                <w:sz w:val="4"/>
                <w:szCs w:val="4"/>
              </w:rPr>
            </w:pPr>
            <w:r>
              <w:rPr>
                <w:sz w:val="4"/>
                <w:szCs w:val="4"/>
              </w:rPr>
            </w:r>
          </w:p>
        </w:tc>
      </w:tr>
      <w:tr>
        <w:trPr/>
        <w:tc>
          <w:tcPr>
            <w:tcW w:w="15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of U.S. Dollars, except per share data</w:t>
            </w:r>
          </w:p>
        </w:tc>
        <w:tc>
          <w:tcPr>
            <w:tcW w:w="11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YoY %</w:t>
              <w:br/>
              <w:t>Change</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YoY %</w:t>
              <w:b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102.8 </w:t>
            </w:r>
          </w:p>
        </w:tc>
        <w:tc>
          <w:tcPr>
            <w:tcW w:w="28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28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44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184.2 </w:t>
            </w:r>
          </w:p>
        </w:tc>
        <w:tc>
          <w:tcPr>
            <w:tcW w:w="28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178.4 </w:t>
            </w:r>
          </w:p>
        </w:tc>
        <w:tc>
          <w:tcPr>
            <w:tcW w:w="28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4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108.7 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106.8 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 (%)</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4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bps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4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4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4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Net Income Margin (%)</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4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bps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4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Shareholders</w:t>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4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4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Net Income Per Share - Diluted</w:t>
            </w:r>
            <w:r>
              <w:rPr>
                <w:rFonts w:ascii="Times New Roman;serif" w:hAnsi="Times New Roman;serif"/>
                <w:b w:val="false"/>
                <w:color w:val="000000"/>
                <w:sz w:val="13"/>
              </w:rPr>
              <w:t>(1)</w:t>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4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4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Total Adjusted EBITDA</w:t>
            </w:r>
            <w:r>
              <w:rPr>
                <w:rFonts w:ascii="Times New Roman;serif" w:hAnsi="Times New Roman;serif"/>
                <w:b w:val="false"/>
                <w:color w:val="000000"/>
                <w:sz w:val="13"/>
              </w:rPr>
              <w:t>(2)(3)</w:t>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4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Total Adjusted EBITDA Margin (%)</w:t>
            </w:r>
            <w:r>
              <w:rPr>
                <w:rFonts w:ascii="Times New Roman;serif" w:hAnsi="Times New Roman;serif"/>
                <w:b w:val="false"/>
                <w:color w:val="000000"/>
                <w:sz w:val="13"/>
              </w:rPr>
              <w:t>(2)(3)</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4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bps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Adjusted Net Income</w:t>
            </w:r>
            <w:r>
              <w:rPr>
                <w:rFonts w:ascii="Times New Roman;serif" w:hAnsi="Times New Roman;serif"/>
                <w:b w:val="false"/>
                <w:color w:val="000000"/>
                <w:sz w:val="13"/>
              </w:rPr>
              <w:t>(1)(2)</w:t>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4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4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Adjusted Earnings Per Share - Diluted</w:t>
            </w:r>
            <w:r>
              <w:rPr>
                <w:rFonts w:ascii="Times New Roman;serif" w:hAnsi="Times New Roman;serif"/>
                <w:b w:val="false"/>
                <w:color w:val="000000"/>
                <w:sz w:val="13"/>
              </w:rPr>
              <w:t>(1)(2)</w:t>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0.43 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0.26 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4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0.60 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4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(in millions):</w:t>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9483" w:type="dxa"/>
            <w:gridSpan w:val="36"/>
            <w:tcBorders/>
            <w:tcMar>
              <w:top w:w="0" w:type="dxa"/>
              <w:left w:w="0" w:type="dxa"/>
              <w:bottom w:w="0" w:type="dxa"/>
              <w:right w:w="0" w:type="dxa"/>
            </w:tcMar>
            <w:vAlign w:val="center"/>
          </w:tcPr>
          <w:p>
            <w:pPr>
              <w:pStyle w:val="TableContents"/>
              <w:bidi w:val="0"/>
              <w:spacing w:before="0" w:after="0"/>
              <w:jc w:val="both"/>
              <w:rPr/>
            </w:pPr>
            <w:r>
              <w:rPr/>
              <w:drawing>
                <wp:inline distT="0" distB="0" distL="0" distR="0">
                  <wp:extent cx="914400" cy="1460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914400" cy="14605"/>
                          </a:xfrm>
                          <a:prstGeom prst="rect">
                            <a:avLst/>
                          </a:prstGeom>
                        </pic:spPr>
                      </pic:pic>
                    </a:graphicData>
                  </a:graphic>
                </wp:inline>
              </w:drawing>
            </w:r>
          </w:p>
          <w:p>
            <w:pPr>
              <w:pStyle w:val="TableContents"/>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(1)Attributable to common shareholders.</w:t>
            </w:r>
          </w:p>
          <w:p>
            <w:pPr>
              <w:pStyle w:val="TableContents"/>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(2)Non-GAAP Financial Measure. See the discussion at the end of this earnings release for a description of the non-GAAP financial measures used herein, as well as reconciliations to the most comparable GAAP amounts.</w:t>
            </w:r>
          </w:p>
          <w:p>
            <w:pPr>
              <w:pStyle w:val="TableContents"/>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(3)Total Adjusted EBITDA is before adjustments for non-controlling interests. Total Adjusted EBITDA per Credit Facility attributable to common shareholders, excluding non-controlling interests, was $45.6 million and $72.4 million for the three and six months ended June 30, 2026, respectively (2025 - $36.7 million and $65.7 million, respectively). The Company’s Credit Facility covenant is calculated on a trailing twelve-month basis.</w:t>
            </w:r>
          </w:p>
        </w:tc>
        <w:tc>
          <w:tcPr>
            <w:tcW w:w="722" w:type="dxa"/>
            <w:gridSpan w:val="6"/>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7"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0"/>
          <w:u w:val="single"/>
        </w:rPr>
        <w:t>Second Quarter Segment Results</w:t>
      </w:r>
      <w:r>
        <w:rPr>
          <w:rFonts w:ascii="Times New Roman;serif" w:hAnsi="Times New Roman;serif"/>
          <w:b/>
          <w:color w:val="000000"/>
          <w:sz w:val="13"/>
        </w:rPr>
        <w:t xml:space="preserve">(1) </w:t>
      </w:r>
    </w:p>
    <w:tbl>
      <w:tblPr>
        <w:tblW w:w="9696" w:type="dxa"/>
        <w:jc w:val="left"/>
        <w:tblInd w:w="0" w:type="dxa"/>
        <w:tblLayout w:type="fixed"/>
        <w:tblCellMar>
          <w:top w:w="28" w:type="dxa"/>
          <w:left w:w="28" w:type="dxa"/>
          <w:bottom w:w="28" w:type="dxa"/>
          <w:right w:w="28" w:type="dxa"/>
        </w:tblCellMar>
      </w:tblPr>
      <w:tblGrid>
        <w:gridCol w:w="366"/>
        <w:gridCol w:w="321"/>
        <w:gridCol w:w="326"/>
        <w:gridCol w:w="222"/>
        <w:gridCol w:w="539"/>
        <w:gridCol w:w="349"/>
        <w:gridCol w:w="114"/>
        <w:gridCol w:w="114"/>
        <w:gridCol w:w="114"/>
        <w:gridCol w:w="246"/>
        <w:gridCol w:w="599"/>
        <w:gridCol w:w="388"/>
        <w:gridCol w:w="114"/>
        <w:gridCol w:w="114"/>
        <w:gridCol w:w="114"/>
        <w:gridCol w:w="238"/>
        <w:gridCol w:w="238"/>
        <w:gridCol w:w="598"/>
        <w:gridCol w:w="114"/>
        <w:gridCol w:w="114"/>
        <w:gridCol w:w="114"/>
        <w:gridCol w:w="222"/>
        <w:gridCol w:w="649"/>
        <w:gridCol w:w="285"/>
        <w:gridCol w:w="114"/>
        <w:gridCol w:w="114"/>
        <w:gridCol w:w="114"/>
        <w:gridCol w:w="272"/>
        <w:gridCol w:w="659"/>
        <w:gridCol w:w="349"/>
        <w:gridCol w:w="114"/>
        <w:gridCol w:w="114"/>
        <w:gridCol w:w="114"/>
        <w:gridCol w:w="227"/>
        <w:gridCol w:w="227"/>
        <w:gridCol w:w="666"/>
      </w:tblGrid>
      <w:tr>
        <w:trPr/>
        <w:tc>
          <w:tcPr>
            <w:tcW w:w="36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r>
      <w:tr>
        <w:trPr/>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Content Solutions</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Technology Products and Services</w:t>
            </w:r>
          </w:p>
        </w:tc>
      </w:tr>
      <w:tr>
        <w:trPr/>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Times New Roman;serif" w:hAnsi="Times New Roman;serif"/>
                <w:b/>
                <w:color w:val="000000"/>
                <w:sz w:val="16"/>
              </w:rPr>
              <w:t>Revenue    </w:t>
            </w:r>
          </w:p>
        </w:tc>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Times New Roman;serif" w:hAnsi="Times New Roman;serif"/>
                <w:b/>
                <w:color w:val="000000"/>
                <w:sz w:val="16"/>
              </w:rPr>
              <w:t>Gross Margin</w:t>
            </w:r>
          </w:p>
        </w:tc>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Gross</w:t>
            </w:r>
          </w:p>
          <w:p>
            <w:pPr>
              <w:pStyle w:val="TableContents"/>
              <w:bidi w:val="0"/>
              <w:spacing w:lineRule="auto" w:line="288" w:before="0" w:after="0"/>
              <w:jc w:val="center"/>
              <w:rPr>
                <w:color w:val="000000"/>
              </w:rPr>
            </w:pPr>
            <w:r>
              <w:rPr>
                <w:color w:val="000000"/>
              </w:rPr>
              <w:t>  </w:t>
            </w:r>
            <w:r>
              <w:rPr>
                <w:rFonts w:ascii="Times New Roman;serif" w:hAnsi="Times New Roman;serif"/>
                <w:b/>
                <w:color w:val="000000"/>
                <w:sz w:val="16"/>
              </w:rPr>
              <w:t xml:space="preserve">Margin % </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Times New Roman;serif" w:hAnsi="Times New Roman;serif"/>
                <w:b/>
                <w:color w:val="000000"/>
                <w:sz w:val="16"/>
              </w:rPr>
              <w:t>Revenue    </w:t>
            </w:r>
          </w:p>
        </w:tc>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Times New Roman;serif" w:hAnsi="Times New Roman;serif"/>
                <w:b/>
                <w:color w:val="000000"/>
                <w:sz w:val="16"/>
              </w:rPr>
              <w:t xml:space="preserve">Gross Margin </w:t>
            </w:r>
          </w:p>
        </w:tc>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Gross</w:t>
            </w:r>
          </w:p>
          <w:p>
            <w:pPr>
              <w:pStyle w:val="TableContents"/>
              <w:bidi w:val="0"/>
              <w:spacing w:lineRule="auto" w:line="288" w:before="0" w:after="0"/>
              <w:jc w:val="center"/>
              <w:rPr>
                <w:color w:val="000000"/>
              </w:rPr>
            </w:pPr>
            <w:r>
              <w:rPr>
                <w:color w:val="000000"/>
              </w:rPr>
              <w:t>  </w:t>
            </w:r>
            <w:r>
              <w:rPr>
                <w:rFonts w:ascii="Times New Roman;serif" w:hAnsi="Times New Roman;serif"/>
                <w:b/>
                <w:color w:val="000000"/>
                <w:sz w:val="16"/>
              </w:rPr>
              <w:t xml:space="preserve">Margin % </w:t>
            </w:r>
          </w:p>
        </w:tc>
      </w:tr>
      <w:tr>
        <w:trPr/>
        <w:tc>
          <w:tcPr>
            <w:tcW w:w="10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2Q26</w:t>
            </w:r>
          </w:p>
        </w:tc>
        <w:tc>
          <w:tcPr>
            <w:tcW w:w="2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34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38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59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28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34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6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2Q25</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5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6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change</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YTD26</w:t>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5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113.1 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6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YTD25</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5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106.2 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6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change</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6" w:type="dxa"/>
            <w:gridSpan w:val="36"/>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914400" cy="14605"/>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4"/>
                          <a:stretch>
                            <a:fillRect/>
                          </a:stretch>
                        </pic:blipFill>
                        <pic:spPr bwMode="auto">
                          <a:xfrm>
                            <a:off x="0" y="0"/>
                            <a:ext cx="914400" cy="14605"/>
                          </a:xfrm>
                          <a:prstGeom prst="rect">
                            <a:avLst/>
                          </a:prstGeom>
                        </pic:spPr>
                      </pic:pic>
                    </a:graphicData>
                  </a:graphic>
                </wp:inline>
              </w:drawing>
            </w:r>
          </w:p>
          <w:p>
            <w:pPr>
              <w:pStyle w:val="TableContents"/>
              <w:bidi w:val="0"/>
              <w:spacing w:lineRule="auto" w:line="288" w:before="0" w:after="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(1)Please refer to the Company’s Quarterly Report on Form 10-Q for the period ended June 30, 2026 for additional segment information.</w:t>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Content Solutions Segment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432"/>
        <w:jc w:val="left"/>
        <w:rPr/>
      </w:pPr>
      <w:r>
        <w:rPr>
          <w:color w:val="000000"/>
        </w:rPr>
        <w:t>•</w:t>
      </w:r>
      <w:r>
        <w:rPr>
          <w:rFonts w:ascii="Times New Roman;serif" w:hAnsi="Times New Roman;serif"/>
          <w:b w:val="false"/>
          <w:color w:val="000000"/>
          <w:sz w:val="20"/>
        </w:rPr>
        <w:t xml:space="preserve">Second quarter Content Solutions revenues and gross margin increased 2% to $35 million and decreased 2% to $22 million year-over-year, respectively, reflecting IMAX’s diversified global model delivering a 63% gross margin. </w:t>
      </w:r>
    </w:p>
    <w:p>
      <w:pPr>
        <w:pStyle w:val="TextBody"/>
        <w:bidi w:val="0"/>
        <w:spacing w:before="0" w:after="0"/>
        <w:ind w:left="0" w:right="0" w:hanging="72"/>
        <w:jc w:val="left"/>
        <w:rPr/>
      </w:pPr>
      <w:r>
        <w:rPr/>
      </w:r>
    </w:p>
    <w:p>
      <w:pPr>
        <w:pStyle w:val="TextBody"/>
        <w:bidi w:val="0"/>
        <w:spacing w:lineRule="auto" w:line="288" w:before="0" w:after="0"/>
        <w:ind w:left="0" w:right="0" w:hanging="432"/>
        <w:jc w:val="both"/>
        <w:rPr/>
      </w:pPr>
      <w:r>
        <w:rPr>
          <w:color w:val="000000"/>
        </w:rPr>
        <w:t>•</w:t>
      </w:r>
      <w:r>
        <w:rPr>
          <w:rFonts w:ascii="Times New Roman;serif" w:hAnsi="Times New Roman;serif"/>
          <w:b w:val="false"/>
          <w:color w:val="000000"/>
          <w:sz w:val="20"/>
        </w:rPr>
        <w:t xml:space="preserve">Second quarter global box office of $285 million marked IMAX’s highest Q2 box office since 2019 and increased 1% year-over-year driven by strong 24% box office growth in International markets excluding Mainland China. Top grossing second quarter titles included </w:t>
      </w:r>
      <w:r>
        <w:rPr>
          <w:rFonts w:ascii="Times New Roman;serif" w:hAnsi="Times New Roman;serif"/>
          <w:b w:val="false"/>
          <w:i/>
          <w:color w:val="000000"/>
          <w:sz w:val="20"/>
        </w:rPr>
        <w:t xml:space="preserve">Michael </w:t>
      </w:r>
      <w:r>
        <w:rPr>
          <w:rFonts w:ascii="Times New Roman;serif" w:hAnsi="Times New Roman;serif"/>
          <w:b w:val="false"/>
          <w:color w:val="000000"/>
          <w:sz w:val="20"/>
        </w:rPr>
        <w:t xml:space="preserve">($69 million), </w:t>
      </w:r>
      <w:r>
        <w:rPr>
          <w:rFonts w:ascii="Times New Roman;serif" w:hAnsi="Times New Roman;serif"/>
          <w:b w:val="false"/>
          <w:i/>
          <w:color w:val="000000"/>
          <w:sz w:val="20"/>
        </w:rPr>
        <w:t xml:space="preserve">The Mandalorian &amp; Grogu </w:t>
      </w:r>
      <w:r>
        <w:rPr>
          <w:rFonts w:ascii="Times New Roman;serif" w:hAnsi="Times New Roman;serif"/>
          <w:b w:val="false"/>
          <w:color w:val="000000"/>
          <w:sz w:val="20"/>
        </w:rPr>
        <w:t xml:space="preserve">($42 million), and </w:t>
      </w:r>
      <w:r>
        <w:rPr>
          <w:rFonts w:ascii="Times New Roman;serif" w:hAnsi="Times New Roman;serif"/>
          <w:b w:val="false"/>
          <w:i/>
          <w:color w:val="000000"/>
          <w:sz w:val="20"/>
        </w:rPr>
        <w:t>The</w:t>
      </w:r>
      <w:r>
        <w:rPr>
          <w:color w:val="000000"/>
        </w:rPr>
        <w:t xml:space="preserve"> </w:t>
      </w:r>
      <w:r>
        <w:rPr>
          <w:rFonts w:ascii="Times New Roman;serif" w:hAnsi="Times New Roman;serif"/>
          <w:b w:val="false"/>
          <w:i/>
          <w:color w:val="000000"/>
          <w:sz w:val="20"/>
        </w:rPr>
        <w:t xml:space="preserve">Super Mario Galaxy Movie </w:t>
      </w:r>
      <w:r>
        <w:rPr>
          <w:rFonts w:ascii="Times New Roman;serif" w:hAnsi="Times New Roman;serif"/>
          <w:b w:val="false"/>
          <w:color w:val="000000"/>
          <w:sz w:val="20"/>
        </w:rPr>
        <w:t>($39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Technology Products and Services Segment</w:t>
      </w:r>
    </w:p>
    <w:p>
      <w:pPr>
        <w:pStyle w:val="TextBody"/>
        <w:bidi w:val="0"/>
        <w:spacing w:before="0" w:after="0"/>
        <w:jc w:val="both"/>
        <w:rPr/>
      </w:pPr>
      <w:r>
        <w:rPr/>
      </w:r>
    </w:p>
    <w:p>
      <w:pPr>
        <w:pStyle w:val="TextBody"/>
        <w:bidi w:val="0"/>
        <w:spacing w:lineRule="auto" w:line="288" w:before="0" w:after="0"/>
        <w:ind w:left="0" w:right="0" w:hanging="432"/>
        <w:jc w:val="both"/>
        <w:rPr/>
      </w:pPr>
      <w:r>
        <w:rPr>
          <w:color w:val="000000"/>
        </w:rPr>
        <w:t>•</w:t>
      </w:r>
      <w:r>
        <w:rPr>
          <w:rFonts w:ascii="Times New Roman;serif" w:hAnsi="Times New Roman;serif"/>
          <w:b w:val="false"/>
          <w:color w:val="000000"/>
          <w:sz w:val="20"/>
        </w:rPr>
        <w:t>Second quarter Technology Products and Services revenues and gross margin increased 16% to $65 million and 29% to $39 million year-over-year, respectively, driven by higher systems sales, rental revenues and amendments and renewals of existing agreements.</w:t>
      </w:r>
    </w:p>
    <w:p>
      <w:pPr>
        <w:pStyle w:val="TextBody"/>
        <w:bidi w:val="0"/>
        <w:spacing w:before="0" w:after="0"/>
        <w:ind w:left="0" w:right="0" w:hanging="72"/>
        <w:jc w:val="both"/>
        <w:rPr/>
      </w:pPr>
      <w:r>
        <w:rPr/>
      </w:r>
    </w:p>
    <w:p>
      <w:pPr>
        <w:pStyle w:val="TextBody"/>
        <w:bidi w:val="0"/>
        <w:spacing w:lineRule="auto" w:line="288" w:before="0" w:after="0"/>
        <w:ind w:left="0" w:right="0" w:hanging="432"/>
        <w:jc w:val="both"/>
        <w:rPr/>
      </w:pPr>
      <w:r>
        <w:rPr>
          <w:color w:val="000000"/>
        </w:rPr>
        <w:t>•</w:t>
      </w:r>
      <w:r>
        <w:rPr>
          <w:rFonts w:ascii="Times New Roman;serif" w:hAnsi="Times New Roman;serif"/>
          <w:b w:val="false"/>
          <w:color w:val="000000"/>
          <w:sz w:val="20"/>
        </w:rPr>
        <w:t>During the second quarter of 2026, the Company installed 38 systems compared to 36 systems in the second quarter of 2025. Of the 2026 installs, 18 systems were under sales arrangements, compared to 13 in the prior year.</w:t>
      </w:r>
    </w:p>
    <w:p>
      <w:pPr>
        <w:pStyle w:val="TextBody"/>
        <w:bidi w:val="0"/>
        <w:spacing w:before="0" w:after="0"/>
        <w:ind w:left="0" w:right="0" w:hanging="72"/>
        <w:jc w:val="both"/>
        <w:rPr/>
      </w:pPr>
      <w:r>
        <w:rPr/>
      </w:r>
    </w:p>
    <w:p>
      <w:pPr>
        <w:pStyle w:val="TextBody"/>
        <w:bidi w:val="0"/>
        <w:spacing w:lineRule="auto" w:line="288" w:before="0" w:after="0"/>
        <w:ind w:left="0" w:right="0" w:hanging="432"/>
        <w:jc w:val="left"/>
        <w:rPr/>
      </w:pPr>
      <w:r>
        <w:rPr>
          <w:color w:val="000000"/>
        </w:rPr>
        <w:t>•</w:t>
      </w:r>
      <w:r>
        <w:rPr>
          <w:rFonts w:ascii="Times New Roman;serif" w:hAnsi="Times New Roman;serif"/>
          <w:b w:val="false"/>
          <w:color w:val="000000"/>
          <w:sz w:val="20"/>
        </w:rPr>
        <w:t>Commercial network growth continued with the number of IMAX locations reaching 1,809 systems as of June 30, 2026 compared to 1,750 systems as of June 30, 2025 which includes 9% expansion of the IMAX rest of world footprint. The Company ended Q2 2026 with a backlog of 421 IMAX systems.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9"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Operating Cash Flow and Liquidity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for first half 2026 increased 19% year-over-year to $36 million, reflecting higher operating profits and improvements in working capital driven by higher collections.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Company’s available liquidity was $551 million. The Company’s liquidity included cash and cash equivalents of $160 million, $334 million in available borrowing capacity under the Company’s revolving credit facility, and $57 million in available borrowing capacity under IMAX China’s revolving facilities. Total debt, excluding deferred financing costs, was $292 million as of June 30,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2025, the Company issued $250 million of 0.750% Convertible Senior Notes due 2030 (“2030 Convertible Notes”). In connection with the pricing of the 2030 Convertible Notes, the Company entered into privately negotiated capped call transactions with an initial cap price of $57.10 per share of the Company’s common shares.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0"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Share Count and Capital Return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weighted average basic and diluted shares outstanding in the second quarter of 2026 were 55.0 million and 56.6 million, respectively, compared to 53.8 million and 55.2 million in the second quarter of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second quarter of 2026, the Company repurchased 404,866 common shares at an average price of $33.91 per share, for a total of $13.7 million, excluding commission. During the second quarter of 2025, the Company did not have any repurchases of common shares.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June 2025, the Company’s Board of Directors approved an extension of its share repurchase program through June 30, 2026 and an increase of approximately $100.0 million in the Company’s share repurchase program. As of June 30, 2026, the Company’s total share repurchase authority was $500.0 million with approximately $237.0 million available under the program.</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Supplemental Materials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more information about the Company’s results, please refer to the IMAX Investor Relations website located at investors.imax.com.</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Investor Relations Website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a monthly basis, the Company posts quarter-to-date box office results on the IMAX Investor Relations website located at investors.imax.com. The Company expects to provide such updates within five business days of month-end, although the Company may change this timing without notice.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may post additional information on the Company’s corporate and Investor Relations websites, which may be material to investors. Accordingly, investors, media and others interested in the Company should monitor the Company’s website in addition to the Company’s press releases, United States Securities and Exchange Commission (the “SEC”) or in Canada, the System for Electronic Data Analysis and Retrieval (“SEDAR+”) filings and public conference calls and webcasts, for additional information about the Company. References to our website address and domain names throughout this release are for informational purposes only, or to fulfill specific disclosure requirements of the SEC’s rules or The New York Stock Exchange Listing Standards. These references are not intended to, and do not, incorporate the contents of our websites by reference into this release.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Conference Call</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will host a conference call today at 8:30 AM ET to discuss its second quarter 2026 financial results. This call is being webcast and can be accessed at investors.imax.com. To access the call via telephone, interested parties please pre-register at: https://register-conf.media-server.com/register/BI3274f7133629408aacb9aff84db92ce1 and you will be provided with a dial-in number and unique pin. To avoid delays, we encourage participants to dial into the conference call ten minutes ahead of the scheduled start time. A replay of the call will be available via webcast at investors.imax.com.</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1"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 xml:space="preserve">About IMAX Corporation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IMAX, an innovator in entertainment technology, combines proprietary software, architecture, and equipment to create experiences that take you beyond the edge of your seat to a world you’ve never imagined. Top filmmakers and studios are utilizing IMAX systems to connect with audiences in extraordinary ways, making IMAX’s network among the most important and successful theatrical distribution platforms for major event films around the globe.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IMAX’s principal executive offices are located in Mississauga, Ontario, Canada and New York, New York. As of June 30, 2026, there were 1,876 IMAX systems (1,809 commercial multiplexes, 10 commercial destinations, 57 institutional locations) operating in 91 countries and territories.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Shares of IMAX China Holding, Inc., a subsidiary of IMAX Corporation, trade on the Hong Kong Stock Exchange under the stock code “1970”.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IMAX</w:t>
      </w:r>
      <w:r>
        <w:rPr>
          <w:rFonts w:ascii="Times New Roman;serif" w:hAnsi="Times New Roman;serif"/>
          <w:b w:val="false"/>
          <w:color w:val="000000"/>
          <w:sz w:val="13"/>
        </w:rPr>
        <w:t>®</w:t>
      </w:r>
      <w:r>
        <w:rPr>
          <w:rFonts w:ascii="Times New Roman;serif" w:hAnsi="Times New Roman;serif"/>
          <w:b w:val="false"/>
          <w:color w:val="000000"/>
          <w:sz w:val="20"/>
        </w:rPr>
        <w:t>, IMAX</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3D, Experience It In IMAX</w:t>
      </w:r>
      <w:r>
        <w:rPr>
          <w:rFonts w:ascii="Times New Roman;serif" w:hAnsi="Times New Roman;serif"/>
          <w:b w:val="false"/>
          <w:color w:val="000000"/>
          <w:sz w:val="13"/>
        </w:rPr>
        <w:t>®</w:t>
      </w:r>
      <w:r>
        <w:rPr>
          <w:rFonts w:ascii="Times New Roman;serif" w:hAnsi="Times New Roman;serif"/>
          <w:b w:val="false"/>
          <w:color w:val="000000"/>
          <w:sz w:val="20"/>
        </w:rPr>
        <w:t xml:space="preserve">, </w:t>
      </w:r>
      <w:r>
        <w:rPr>
          <w:rFonts w:ascii="Times New Roman;serif" w:hAnsi="Times New Roman;serif"/>
          <w:b w:val="false"/>
          <w:i/>
          <w:color w:val="000000"/>
          <w:sz w:val="20"/>
        </w:rPr>
        <w:t>The</w:t>
      </w:r>
      <w:r>
        <w:rPr>
          <w:color w:val="000000"/>
        </w:rPr>
        <w:t xml:space="preserve"> </w:t>
      </w:r>
      <w:r>
        <w:rPr>
          <w:rFonts w:ascii="Times New Roman;serif" w:hAnsi="Times New Roman;serif"/>
          <w:b w:val="false"/>
          <w:color w:val="000000"/>
          <w:sz w:val="20"/>
        </w:rPr>
        <w:t xml:space="preserve">IMAX </w:t>
      </w:r>
      <w:r>
        <w:rPr>
          <w:rFonts w:ascii="Times New Roman;serif" w:hAnsi="Times New Roman;serif"/>
          <w:b w:val="false"/>
          <w:i/>
          <w:color w:val="000000"/>
          <w:sz w:val="20"/>
        </w:rPr>
        <w:t>Experience</w:t>
      </w:r>
      <w:r>
        <w:rPr>
          <w:rFonts w:ascii="Times New Roman;serif" w:hAnsi="Times New Roman;serif"/>
          <w:b w:val="false"/>
          <w:color w:val="000000"/>
          <w:sz w:val="13"/>
        </w:rPr>
        <w:t>®</w:t>
      </w:r>
      <w:r>
        <w:rPr>
          <w:rFonts w:ascii="Times New Roman;serif" w:hAnsi="Times New Roman;serif"/>
          <w:b w:val="false"/>
          <w:color w:val="000000"/>
          <w:sz w:val="20"/>
        </w:rPr>
        <w:t>, DMR</w:t>
      </w:r>
      <w:r>
        <w:rPr>
          <w:rFonts w:ascii="Times New Roman;serif" w:hAnsi="Times New Roman;serif"/>
          <w:b w:val="false"/>
          <w:color w:val="000000"/>
          <w:sz w:val="13"/>
        </w:rPr>
        <w:t>®</w:t>
      </w:r>
      <w:r>
        <w:rPr>
          <w:rFonts w:ascii="Times New Roman;serif" w:hAnsi="Times New Roman;serif"/>
          <w:b w:val="false"/>
          <w:color w:val="000000"/>
          <w:sz w:val="20"/>
        </w:rPr>
        <w:t>, Filmed For IMAX</w:t>
      </w:r>
      <w:r>
        <w:rPr>
          <w:rFonts w:ascii="Times New Roman;serif" w:hAnsi="Times New Roman;serif"/>
          <w:b w:val="false"/>
          <w:color w:val="000000"/>
          <w:sz w:val="13"/>
        </w:rPr>
        <w:t>®</w:t>
      </w:r>
      <w:r>
        <w:rPr>
          <w:rFonts w:ascii="Times New Roman;serif" w:hAnsi="Times New Roman;serif"/>
          <w:b w:val="false"/>
          <w:color w:val="000000"/>
          <w:sz w:val="20"/>
        </w:rPr>
        <w:t>, IMAX Live</w:t>
      </w:r>
      <w:r>
        <w:rPr>
          <w:rFonts w:ascii="Times New Roman;serif" w:hAnsi="Times New Roman;serif"/>
          <w:b w:val="false"/>
          <w:color w:val="000000"/>
          <w:sz w:val="13"/>
        </w:rPr>
        <w:t>®</w:t>
      </w:r>
      <w:r>
        <w:rPr>
          <w:rFonts w:ascii="Times New Roman;serif" w:hAnsi="Times New Roman;serif"/>
          <w:b w:val="false"/>
          <w:color w:val="000000"/>
          <w:sz w:val="20"/>
        </w:rPr>
        <w:t>, and IMAX Enhanced</w:t>
      </w:r>
      <w:r>
        <w:rPr>
          <w:rFonts w:ascii="Times New Roman;serif" w:hAnsi="Times New Roman;serif"/>
          <w:b w:val="false"/>
          <w:color w:val="000000"/>
          <w:sz w:val="13"/>
        </w:rPr>
        <w:t xml:space="preserve">® </w:t>
      </w:r>
      <w:r>
        <w:rPr>
          <w:rFonts w:ascii="Times New Roman;serif" w:hAnsi="Times New Roman;serif"/>
          <w:b w:val="false"/>
          <w:color w:val="000000"/>
          <w:sz w:val="20"/>
        </w:rPr>
        <w:t>are trademarks and trade names of the Company or its subsidiaries that are registered or otherwise protected under laws of various jurisdictions. For more information, visit www.imax.com. You can also connect with IMAX on Instagram (www.instagram.com/imax), Facebook (www.facebook.com/imax), LinkedIn (www.linkedin.com/company/imax), X (www.twitter.com/imax), and YouTube (www.youtube.com/imaxmovies).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additional information please contact:</w:t>
      </w:r>
    </w:p>
    <w:p>
      <w:pPr>
        <w:pStyle w:val="TextBody"/>
        <w:bidi w:val="0"/>
        <w:spacing w:before="0" w:after="0"/>
        <w:jc w:val="left"/>
        <w:rPr/>
      </w:pPr>
      <w:r>
        <w:rPr/>
      </w:r>
    </w:p>
    <w:tbl>
      <w:tblPr>
        <w:tblW w:w="5159" w:type="dxa"/>
        <w:jc w:val="left"/>
        <w:tblInd w:w="0" w:type="dxa"/>
        <w:tblLayout w:type="fixed"/>
        <w:tblCellMar>
          <w:top w:w="28" w:type="dxa"/>
          <w:left w:w="28" w:type="dxa"/>
          <w:bottom w:w="28" w:type="dxa"/>
          <w:right w:w="28" w:type="dxa"/>
        </w:tblCellMar>
      </w:tblPr>
      <w:tblGrid>
        <w:gridCol w:w="929"/>
        <w:gridCol w:w="816"/>
        <w:gridCol w:w="819"/>
        <w:gridCol w:w="760"/>
        <w:gridCol w:w="760"/>
        <w:gridCol w:w="1075"/>
      </w:tblGrid>
      <w:tr>
        <w:trPr/>
        <w:tc>
          <w:tcPr>
            <w:tcW w:w="9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Investors:</w:t>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IMAX Corporation, New York</w:t>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Jennifer Horsley</w:t>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212-821-0154</w:t>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jhorsley@imax.com</w:t>
            </w:r>
          </w:p>
        </w:tc>
        <w:tc>
          <w:tcPr>
            <w:tcW w:w="259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Media: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IMAX Corporation, New York</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Mark Jafar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212-821-0102</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mjafar@imax.com</w:t>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2"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Forward-Looking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This earnings release contains forward looking statements that are based on IMAX Corporation (the “Company”) management’s assumptions and existing information and involve certain risks and uncertainties which could affect our future results and cause those results or other outcomes to differ materially from future results expressed or implied by such forward looking statements. In some cases, you can identify these statements by forward-looking words such as “accelerate,” “believe,” “continue,” “could,” “expect,” “future,” “grow,” “look forward to,” “may,” “potential,” “momentum,” “will” or the negative or other variations thereon or comparable terminology. </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These forward-looking statements include, but are not limited to statements regarding: the Company’s business and technology strategies and measures to implement such strategies; the Company’s competitive strengths, differentiation, goals, market opportunity and penetration, including opportunities in and expected growth from international markets, momentum and runway for expansion and growth of business, networks, operations and technology; capital allocation, including with respect to share repurchase programs; the Company’s technological capabilities and the differentiation thereof; future releases of films and other content to the IMAX network, including the timing of such releases, the anticipated box office revenues, and other effects thereof; and plans and references to the future success of the Company and expectations regarding its future operating, financial and technological results, including its box office guidance for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These forward-looking statements are based on certain assumptions and analyses made by the Company in light of its experience and its perception of historical trends, current conditions and expected future developments, as well as other factors it believes are appropriate in the circumstances. However, whether actual results and developments will conform with the expectations and predictions of the Company is subject to a number of risks and uncertainties, including, but not limited to: risks associated with the Company’s investments, operations, and future expansion in foreign jurisdictions, including the impact of economic, political and regulatory policies and laws of the United States, Canada, and China, tariffs and other trade regulations, and economic and trade tensions, trade wars, and geopolitical conflicts; risks related to the Company’s growth and operations in China, including the impact of industry conditions to both the Company and its partners; the ability of the Company’s exhibitor customers to fulfill their contractual payment obligations; risks related to the Company’s ability to attract and retain its employee population or the loss of the Company’s key personnel; the performance of IMAX remastered films and other films released to the IMAX network; conditions, changes and developments in the commercial exhibition industry; the Company’s ability to enter into new IMAX theater system agreements and sales and lease agreements and the effects thereof; fluctuations in operating results and cash flow; currency fluctuations and foreign exchange controls; the potential impact of increased competition in the markets within which the Company operates, including competitive actions by other companies; the ability of the Company to respond to change and advancements in technology, including with respect to AI products and AI-generated content; the potential impacts of consolidation among commercial exhibitors and studios; success of brand extensions and new business initiatives; conditions and competition in the in-home (including streaming) and out-of-home entertainment industries; the Company’s ability to identify and pursue new business opportunities (or lack thereof); cybersecurity and data privacy incidents; the Company’s ability to protect its intellectual property and to avoid infringing, misappropriating, or violating the intellectual property rights of others; effects of environmental laws and regulations, including with respect to climate change; weather conditions and natural disasters that may disrupt or harm the Company’s business; effects of the Company’s indebtedness on its cash flow and business activities and the Company’s ability to comply with its debt agreements; general economic, market or business conditions; sustained inflationary pressure; political, economic and social instability and the resulting disruptions to the Company’s operations or supply chain; the Company’s ability to convert system backlog into revenue and cash flows; accuracy of assumptions underlying goodwill impairment assessment and fair value measurements; changes in laws, regulations or accounting principles; any statements of belief and any statements of assumptions underlying any of the foregoing; other factors and risks outlined in the Company’s periodic filings with the United States Securities and Exchange Commission (the “SEC”) or in Canada, the System for Electronic Data Analysis and Retrieval (“SEDAR+”); and other factors, many of which are beyond the control of the Company. Consequently, all of the forward-looking statements made in this earnings release are qualified by these cautionary statements, and actual results or anticipated developments by the Company may not be realized, and even if substantially realized, may not have the expected consequences to, or effects on, the Company. These factors, other risks and uncertainties and financial details are discussed in the Company’s most recent Annual Report on Form 10-K, as may be updated in filings the Company makes from time to time with the SEC, including the Company’s Quarterly Reports on Form 10-Q. The forward-looking statements herein are made only as of the date hereof and the Company undertakes no obligation to update publicly or otherwise revise any forward-looking statements, whether as a result of new information, future events or otherwise.</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3"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IMAX Network and Backlog</w:t>
      </w:r>
    </w:p>
    <w:p>
      <w:pPr>
        <w:pStyle w:val="TextBody"/>
        <w:bidi w:val="0"/>
        <w:spacing w:before="0" w:after="0"/>
        <w:jc w:val="both"/>
        <w:rPr/>
      </w:pPr>
      <w:r>
        <w:rPr/>
      </w:r>
    </w:p>
    <w:tbl>
      <w:tblPr>
        <w:tblW w:w="8485" w:type="dxa"/>
        <w:jc w:val="left"/>
        <w:tblInd w:w="0" w:type="dxa"/>
        <w:tblLayout w:type="fixed"/>
        <w:tblCellMar>
          <w:top w:w="28" w:type="dxa"/>
          <w:left w:w="28" w:type="dxa"/>
          <w:bottom w:w="28" w:type="dxa"/>
          <w:right w:w="28" w:type="dxa"/>
        </w:tblCellMar>
      </w:tblPr>
      <w:tblGrid>
        <w:gridCol w:w="1194"/>
        <w:gridCol w:w="1048"/>
        <w:gridCol w:w="1052"/>
        <w:gridCol w:w="236"/>
        <w:gridCol w:w="238"/>
        <w:gridCol w:w="234"/>
        <w:gridCol w:w="234"/>
        <w:gridCol w:w="234"/>
        <w:gridCol w:w="234"/>
        <w:gridCol w:w="236"/>
        <w:gridCol w:w="238"/>
        <w:gridCol w:w="234"/>
        <w:gridCol w:w="143"/>
        <w:gridCol w:w="143"/>
        <w:gridCol w:w="143"/>
        <w:gridCol w:w="236"/>
        <w:gridCol w:w="238"/>
        <w:gridCol w:w="205"/>
        <w:gridCol w:w="205"/>
        <w:gridCol w:w="205"/>
        <w:gridCol w:w="205"/>
        <w:gridCol w:w="328"/>
        <w:gridCol w:w="284"/>
        <w:gridCol w:w="257"/>
        <w:gridCol w:w="109"/>
        <w:gridCol w:w="109"/>
        <w:gridCol w:w="109"/>
        <w:gridCol w:w="154"/>
      </w:tblGrid>
      <w:tr>
        <w:trPr/>
        <w:tc>
          <w:tcPr>
            <w:tcW w:w="1194"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0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1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2025</w:t>
            </w:r>
            <w:r>
              <w:rPr>
                <w:rFonts w:ascii="Times New Roman;serif" w:hAnsi="Times New Roman;serif"/>
                <w:b/>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System Signings</w:t>
            </w:r>
            <w:r>
              <w:rPr>
                <w:rFonts w:ascii="Times New Roman;serif" w:hAnsi="Times New Roman;serif"/>
                <w:b w:val="false"/>
                <w:color w:val="000000"/>
                <w:sz w:val="13"/>
              </w:rPr>
              <w:t>(2)</w:t>
            </w:r>
            <w:r>
              <w:rPr>
                <w:rFonts w:ascii="Times New Roman;serif" w:hAnsi="Times New Roman;serif"/>
                <w:b w:val="false"/>
                <w:color w:val="000000"/>
                <w:sz w:val="20"/>
              </w:rPr>
              <w:t>:</w:t>
            </w:r>
          </w:p>
        </w:tc>
        <w:tc>
          <w:tcPr>
            <w:tcW w:w="70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Arrangements</w:t>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4" w:type="dxa"/>
            <w:gridSpan w:val="3"/>
            <w:tcBorders/>
            <w:vAlign w:val="center"/>
          </w:tcPr>
          <w:p>
            <w:pPr>
              <w:pStyle w:val="TableContents"/>
              <w:bidi w:val="0"/>
              <w:spacing w:before="0" w:after="283"/>
              <w:jc w:val="left"/>
              <w:rPr>
                <w:sz w:val="4"/>
                <w:szCs w:val="4"/>
              </w:rPr>
            </w:pPr>
            <w:r>
              <w:rPr>
                <w:sz w:val="4"/>
                <w:szCs w:val="4"/>
              </w:rPr>
            </w:r>
          </w:p>
        </w:tc>
        <w:tc>
          <w:tcPr>
            <w:tcW w:w="708"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708"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679"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Traditional JRSA</w:t>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IMAX System Signings</w:t>
            </w:r>
          </w:p>
        </w:tc>
        <w:tc>
          <w:tcPr>
            <w:tcW w:w="47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3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3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0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5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4" w:type="dxa"/>
            <w:gridSpan w:val="3"/>
            <w:tcBorders/>
            <w:vAlign w:val="center"/>
          </w:tcPr>
          <w:p>
            <w:pPr>
              <w:pStyle w:val="TableContents"/>
              <w:bidi w:val="0"/>
              <w:spacing w:before="0" w:after="283"/>
              <w:jc w:val="left"/>
              <w:rPr>
                <w:sz w:val="4"/>
                <w:szCs w:val="4"/>
              </w:rPr>
            </w:pPr>
            <w:r>
              <w:rPr>
                <w:sz w:val="4"/>
                <w:szCs w:val="4"/>
              </w:rPr>
            </w:r>
          </w:p>
        </w:tc>
        <w:tc>
          <w:tcPr>
            <w:tcW w:w="5191" w:type="dxa"/>
            <w:gridSpan w:val="25"/>
            <w:tcBorders/>
          </w:tcPr>
          <w:p>
            <w:pPr>
              <w:pStyle w:val="TableContents"/>
              <w:bidi w:val="0"/>
              <w:spacing w:before="0" w:after="283"/>
              <w:jc w:val="left"/>
              <w:rPr>
                <w:sz w:val="4"/>
                <w:szCs w:val="4"/>
              </w:rPr>
            </w:pPr>
            <w:r>
              <w:rPr>
                <w:sz w:val="4"/>
                <w:szCs w:val="4"/>
              </w:rPr>
            </w:r>
          </w:p>
        </w:tc>
      </w:tr>
      <w:tr>
        <w:trPr/>
        <w:tc>
          <w:tcPr>
            <w:tcW w:w="3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04" w:type="dxa"/>
            <w:gridSpan w:val="24"/>
            <w:tcBorders/>
            <w:tcMar>
              <w:top w:w="0" w:type="dxa"/>
              <w:left w:w="0" w:type="dxa"/>
              <w:bottom w:w="0" w:type="dxa"/>
              <w:right w:w="0" w:type="dxa"/>
            </w:tcMar>
            <w:vAlign w:val="center"/>
          </w:tcPr>
          <w:p>
            <w:pPr>
              <w:pStyle w:val="TableContents"/>
              <w:bidi w:val="0"/>
              <w:spacing w:lineRule="auto" w:line="288" w:before="0" w:after="283"/>
              <w:jc w:val="left"/>
              <w:rPr/>
            </w:pPr>
            <w:r>
              <w:rPr>
                <w:rFonts w:ascii="Times New Roman;serif" w:hAnsi="Times New Roman;serif"/>
                <w:b w:val="false"/>
                <w:i/>
                <w:sz w:val="16"/>
              </w:rPr>
              <w:br/>
            </w:r>
            <w:r>
              <w:rPr>
                <w:rFonts w:ascii="Times New Roman;serif" w:hAnsi="Times New Roman;serif"/>
                <w:b w:val="false"/>
                <w:i/>
                <w:color w:val="000000"/>
                <w:sz w:val="16"/>
              </w:rPr>
              <w:t>(1) Includes 70 traditional JRSA systems with AMC Entertainment in 2025.</w:t>
              <w:br/>
              <w:t>(2) System signings include new signings of 29 in Q2 2026, 39 in YTD 2026, 26 in Q2 2025 and 63 in YTD 2025.</w:t>
            </w:r>
          </w:p>
        </w:tc>
        <w:tc>
          <w:tcPr>
            <w:tcW w:w="481" w:type="dxa"/>
            <w:gridSpan w:val="4"/>
            <w:tcBorders/>
          </w:tcPr>
          <w:p>
            <w:pPr>
              <w:pStyle w:val="TableContents"/>
              <w:bidi w:val="0"/>
              <w:spacing w:before="0" w:after="283"/>
              <w:jc w:val="left"/>
              <w:rPr>
                <w:sz w:val="4"/>
                <w:szCs w:val="4"/>
              </w:rPr>
            </w:pPr>
            <w:r>
              <w:rPr>
                <w:sz w:val="4"/>
                <w:szCs w:val="4"/>
              </w:rPr>
            </w:r>
          </w:p>
        </w:tc>
      </w:tr>
      <w:tr>
        <w:trPr/>
        <w:tc>
          <w:tcPr>
            <w:tcW w:w="3294" w:type="dxa"/>
            <w:gridSpan w:val="3"/>
            <w:tcBorders/>
            <w:vAlign w:val="center"/>
          </w:tcPr>
          <w:p>
            <w:pPr>
              <w:pStyle w:val="TableContents"/>
              <w:bidi w:val="0"/>
              <w:spacing w:before="0" w:after="283"/>
              <w:jc w:val="left"/>
              <w:rPr>
                <w:sz w:val="4"/>
                <w:szCs w:val="4"/>
              </w:rPr>
            </w:pPr>
            <w:r>
              <w:rPr>
                <w:sz w:val="4"/>
                <w:szCs w:val="4"/>
              </w:rPr>
            </w:r>
          </w:p>
        </w:tc>
        <w:tc>
          <w:tcPr>
            <w:tcW w:w="5191" w:type="dxa"/>
            <w:gridSpan w:val="25"/>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9408" w:type="dxa"/>
        <w:jc w:val="left"/>
        <w:tblInd w:w="0" w:type="dxa"/>
        <w:tblLayout w:type="fixed"/>
        <w:tblCellMar>
          <w:top w:w="28" w:type="dxa"/>
          <w:left w:w="28" w:type="dxa"/>
          <w:bottom w:w="28" w:type="dxa"/>
          <w:right w:w="28" w:type="dxa"/>
        </w:tblCellMar>
      </w:tblPr>
      <w:tblGrid>
        <w:gridCol w:w="1449"/>
        <w:gridCol w:w="1275"/>
        <w:gridCol w:w="1277"/>
        <w:gridCol w:w="258"/>
        <w:gridCol w:w="259"/>
        <w:gridCol w:w="255"/>
        <w:gridCol w:w="255"/>
        <w:gridCol w:w="255"/>
        <w:gridCol w:w="255"/>
        <w:gridCol w:w="258"/>
        <w:gridCol w:w="259"/>
        <w:gridCol w:w="255"/>
        <w:gridCol w:w="156"/>
        <w:gridCol w:w="156"/>
        <w:gridCol w:w="156"/>
        <w:gridCol w:w="258"/>
        <w:gridCol w:w="259"/>
        <w:gridCol w:w="223"/>
        <w:gridCol w:w="223"/>
        <w:gridCol w:w="223"/>
        <w:gridCol w:w="223"/>
        <w:gridCol w:w="258"/>
        <w:gridCol w:w="259"/>
        <w:gridCol w:w="223"/>
        <w:gridCol w:w="109"/>
        <w:gridCol w:w="109"/>
        <w:gridCol w:w="109"/>
        <w:gridCol w:w="154"/>
      </w:tblGrid>
      <w:tr>
        <w:trPr/>
        <w:tc>
          <w:tcPr>
            <w:tcW w:w="1449"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6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6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System Installations</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77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Arrangements</w:t>
            </w:r>
          </w:p>
        </w:tc>
        <w:tc>
          <w:tcPr>
            <w:tcW w:w="5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1"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Traditional JRSA</w:t>
            </w:r>
          </w:p>
        </w:tc>
        <w:tc>
          <w:tcPr>
            <w:tcW w:w="5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IMAX System Installations</w:t>
            </w:r>
          </w:p>
        </w:tc>
        <w:tc>
          <w:tcPr>
            <w:tcW w:w="51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5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5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2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2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1" w:type="dxa"/>
            <w:gridSpan w:val="3"/>
            <w:tcBorders/>
            <w:vAlign w:val="center"/>
          </w:tcPr>
          <w:p>
            <w:pPr>
              <w:pStyle w:val="TableContents"/>
              <w:bidi w:val="0"/>
              <w:spacing w:before="0" w:after="283"/>
              <w:jc w:val="left"/>
              <w:rPr>
                <w:sz w:val="4"/>
                <w:szCs w:val="4"/>
              </w:rPr>
            </w:pPr>
            <w:r>
              <w:rPr>
                <w:sz w:val="4"/>
                <w:szCs w:val="4"/>
              </w:rPr>
            </w:r>
          </w:p>
        </w:tc>
        <w:tc>
          <w:tcPr>
            <w:tcW w:w="5407" w:type="dxa"/>
            <w:gridSpan w:val="25"/>
            <w:tcBorders/>
          </w:tcPr>
          <w:p>
            <w:pPr>
              <w:pStyle w:val="TableContents"/>
              <w:bidi w:val="0"/>
              <w:spacing w:before="0" w:after="283"/>
              <w:jc w:val="left"/>
              <w:rPr>
                <w:sz w:val="4"/>
                <w:szCs w:val="4"/>
              </w:rPr>
            </w:pPr>
            <w:r>
              <w:rPr>
                <w:sz w:val="4"/>
                <w:szCs w:val="4"/>
              </w:rPr>
            </w:r>
          </w:p>
        </w:tc>
      </w:tr>
      <w:tr>
        <w:trPr/>
        <w:tc>
          <w:tcPr>
            <w:tcW w:w="4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927" w:type="dxa"/>
            <w:gridSpan w:val="24"/>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(1) System installations include new systems installations of 17 in Q2 2026, 25 in Q2 YTD, 18 in Q2 2025 and 32 in YTD 2025.</w:t>
            </w:r>
          </w:p>
        </w:tc>
        <w:tc>
          <w:tcPr>
            <w:tcW w:w="481" w:type="dxa"/>
            <w:gridSpan w:val="4"/>
            <w:tcBorders/>
          </w:tcPr>
          <w:p>
            <w:pPr>
              <w:pStyle w:val="TableContents"/>
              <w:bidi w:val="0"/>
              <w:spacing w:before="0" w:after="283"/>
              <w:jc w:val="left"/>
              <w:rPr>
                <w:sz w:val="4"/>
                <w:szCs w:val="4"/>
              </w:rPr>
            </w:pPr>
            <w:r>
              <w:rPr>
                <w:sz w:val="4"/>
                <w:szCs w:val="4"/>
              </w:rPr>
            </w:r>
          </w:p>
        </w:tc>
      </w:tr>
      <w:tr>
        <w:trPr/>
        <w:tc>
          <w:tcPr>
            <w:tcW w:w="4001" w:type="dxa"/>
            <w:gridSpan w:val="3"/>
            <w:tcBorders/>
            <w:vAlign w:val="center"/>
          </w:tcPr>
          <w:p>
            <w:pPr>
              <w:pStyle w:val="TableContents"/>
              <w:bidi w:val="0"/>
              <w:spacing w:before="0" w:after="283"/>
              <w:jc w:val="left"/>
              <w:rPr>
                <w:sz w:val="4"/>
                <w:szCs w:val="4"/>
              </w:rPr>
            </w:pPr>
            <w:r>
              <w:rPr>
                <w:sz w:val="4"/>
                <w:szCs w:val="4"/>
              </w:rPr>
            </w:r>
          </w:p>
        </w:tc>
        <w:tc>
          <w:tcPr>
            <w:tcW w:w="5407" w:type="dxa"/>
            <w:gridSpan w:val="25"/>
            <w:tcBorders/>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841"/>
        <w:gridCol w:w="1595"/>
        <w:gridCol w:w="1496"/>
        <w:gridCol w:w="690"/>
        <w:gridCol w:w="605"/>
        <w:gridCol w:w="404"/>
        <w:gridCol w:w="317"/>
        <w:gridCol w:w="317"/>
        <w:gridCol w:w="317"/>
        <w:gridCol w:w="690"/>
        <w:gridCol w:w="605"/>
        <w:gridCol w:w="404"/>
        <w:gridCol w:w="109"/>
        <w:gridCol w:w="109"/>
        <w:gridCol w:w="109"/>
        <w:gridCol w:w="109"/>
        <w:gridCol w:w="109"/>
        <w:gridCol w:w="109"/>
        <w:gridCol w:w="109"/>
        <w:gridCol w:w="161"/>
      </w:tblGrid>
      <w:tr>
        <w:trPr/>
        <w:tc>
          <w:tcPr>
            <w:tcW w:w="1841"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As of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9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System Backlog:</w:t>
            </w:r>
          </w:p>
        </w:tc>
        <w:tc>
          <w:tcPr>
            <w:tcW w:w="169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Arrangements</w:t>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Hybrid JRSA</w:t>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Traditional JRSA</w:t>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Total System Backlog</w:t>
            </w:r>
            <w:r>
              <w:rPr>
                <w:rFonts w:ascii="Times New Roman;serif" w:hAnsi="Times New Roman;serif"/>
                <w:b w:val="false"/>
                <w:color w:val="000000"/>
                <w:sz w:val="13"/>
              </w:rPr>
              <w:t>(1)</w:t>
            </w:r>
          </w:p>
        </w:tc>
        <w:tc>
          <w:tcPr>
            <w:tcW w:w="1295"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40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40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281" w:type="dxa"/>
            <w:gridSpan w:val="12"/>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(1) Greater China backlog changes include first half installations along with restructuring of certain contracts resulting in cancellation of backlog for 17 system locations deemed mutually to no longer be beneficial to IMAX and its exhibition customers.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As of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9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System Network:</w:t>
            </w:r>
          </w:p>
        </w:tc>
        <w:tc>
          <w:tcPr>
            <w:tcW w:w="169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Multiplex Systems</w:t>
            </w:r>
          </w:p>
        </w:tc>
        <w:tc>
          <w:tcPr>
            <w:tcW w:w="1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Arrangements</w:t>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Hybrid JRSA</w:t>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Traditional JRSA</w:t>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Commercial Multiplex Systems</w:t>
            </w:r>
          </w:p>
        </w:tc>
        <w:tc>
          <w:tcPr>
            <w:tcW w:w="129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1,809 </w:t>
            </w:r>
          </w:p>
        </w:tc>
        <w:tc>
          <w:tcPr>
            <w:tcW w:w="40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1,750 </w:t>
            </w:r>
          </w:p>
        </w:tc>
        <w:tc>
          <w:tcPr>
            <w:tcW w:w="40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Destination Systems</w:t>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Institutional Systems</w:t>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System Network</w:t>
            </w:r>
          </w:p>
        </w:tc>
        <w:tc>
          <w:tcPr>
            <w:tcW w:w="1295"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1,876 </w:t>
            </w:r>
          </w:p>
        </w:tc>
        <w:tc>
          <w:tcPr>
            <w:tcW w:w="40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1,821 </w:t>
            </w:r>
          </w:p>
        </w:tc>
        <w:tc>
          <w:tcPr>
            <w:tcW w:w="40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4"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IMAX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of U.S. dollars, except per share amounts)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668"/>
        <w:gridCol w:w="1415"/>
        <w:gridCol w:w="1435"/>
        <w:gridCol w:w="211"/>
        <w:gridCol w:w="736"/>
        <w:gridCol w:w="109"/>
        <w:gridCol w:w="109"/>
        <w:gridCol w:w="109"/>
        <w:gridCol w:w="109"/>
        <w:gridCol w:w="211"/>
        <w:gridCol w:w="736"/>
        <w:gridCol w:w="109"/>
        <w:gridCol w:w="109"/>
        <w:gridCol w:w="109"/>
        <w:gridCol w:w="109"/>
        <w:gridCol w:w="211"/>
        <w:gridCol w:w="736"/>
        <w:gridCol w:w="109"/>
        <w:gridCol w:w="109"/>
        <w:gridCol w:w="109"/>
        <w:gridCol w:w="109"/>
        <w:gridCol w:w="211"/>
        <w:gridCol w:w="736"/>
        <w:gridCol w:w="109"/>
        <w:gridCol w:w="109"/>
        <w:gridCol w:w="109"/>
        <w:gridCol w:w="109"/>
        <w:gridCol w:w="155"/>
      </w:tblGrid>
      <w:tr>
        <w:trPr/>
        <w:tc>
          <w:tcPr>
            <w:tcW w:w="1668"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Three Months Ended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Six Months Ended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4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5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Technology sales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Image enhancement and maintenance services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Technology rentals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Finance income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102,842</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91,684</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184,221</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178,351</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Costs and expenses applicable to revenues</w:t>
            </w:r>
          </w:p>
        </w:tc>
        <w:tc>
          <w:tcPr>
            <w:tcW w:w="105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Technology sales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Image enhancement and maintenance services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Technology rentals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39,946</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38,082</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75,514</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71,573</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Gross margin</w:t>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62,896</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53,602</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108,707</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106,778</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Credit loss expense (reversal),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charges and other impairments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20,774</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14,346</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30,725</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31,080</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Realized and unrealized investment gains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Retirement benefits non-service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Income before taxes</w:t>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19,415</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13,433</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27,907</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28,868</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income</w:t>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15,908</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12,235</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21,979</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20,385</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income attributable to common shareholders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15,402</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11,255</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19,628</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13,582</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income per share attributable to common shareholders: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bookmarkStart w:id="0" w:name="i0f6dbad49d0f4c8b94af1abe2603b40a_35-0-1"/>
            <w:bookmarkEnd w:id="0"/>
            <w:r>
              <w:rPr>
                <w:rFonts w:ascii="Times New Roman;serif" w:hAnsi="Times New Roman;serif"/>
                <w:b w:val="false"/>
                <w:color w:val="000000"/>
                <w:sz w:val="20"/>
              </w:rPr>
              <w:t>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Weighted average shares outstanding (in thousands):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9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56,569 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55,161 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56,475 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55,064 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Additional Disclosure: </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financing costs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5"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IMAX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of U.S. dollars, except share amounts)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629"/>
        <w:gridCol w:w="2277"/>
        <w:gridCol w:w="2298"/>
        <w:gridCol w:w="211"/>
        <w:gridCol w:w="841"/>
        <w:gridCol w:w="109"/>
        <w:gridCol w:w="109"/>
        <w:gridCol w:w="109"/>
        <w:gridCol w:w="109"/>
        <w:gridCol w:w="264"/>
        <w:gridCol w:w="1054"/>
        <w:gridCol w:w="195"/>
      </w:tblGrid>
      <w:tr>
        <w:trPr/>
        <w:tc>
          <w:tcPr>
            <w:tcW w:w="2629" w:type="dxa"/>
            <w:tcBorders/>
            <w:vAlign w:val="center"/>
          </w:tcPr>
          <w:p>
            <w:pPr>
              <w:pStyle w:val="TableContents"/>
              <w:bidi w:val="0"/>
              <w:spacing w:before="0" w:after="283"/>
              <w:jc w:val="left"/>
              <w:rPr>
                <w:sz w:val="4"/>
                <w:szCs w:val="4"/>
              </w:rPr>
            </w:pPr>
            <w:r>
              <w:rPr>
                <w:sz w:val="4"/>
                <w:szCs w:val="4"/>
              </w:rPr>
            </w:r>
          </w:p>
        </w:tc>
        <w:tc>
          <w:tcPr>
            <w:tcW w:w="2277"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720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720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7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151,168 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for credit losses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108,079 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receivables, net of allowance for credit losses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121,954 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consideration receivables, net of allowance for credit losses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91,402 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32,505 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14,881 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Film assets, net of accumulated amortization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15,529 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 of accumulated depreciation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242,910 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incentives and other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24,820 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assets, net of valuation allowance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12,577 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45,815 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 net of accumulated amortization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32,391 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917,897</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894,031</w:t>
            </w:r>
            <w:r>
              <w:rPr>
                <w:color w:val="000000"/>
              </w:rPr>
              <w:t> </w:t>
            </w:r>
          </w:p>
        </w:tc>
        <w:tc>
          <w:tcPr>
            <w:tcW w:w="19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19,478 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105,293 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50,395 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 borrowings, net of unamortized debt issuance costs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34,577 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notes and other borrowings, net of unamortized discounts and debt issuance costs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244,034 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12,521 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0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467,465</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466,298</w:t>
            </w:r>
            <w:r>
              <w:rPr>
                <w:color w:val="000000"/>
              </w:rPr>
              <w:t> </w:t>
            </w:r>
          </w:p>
        </w:tc>
        <w:tc>
          <w:tcPr>
            <w:tcW w:w="19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Commitments, contingencies and guarantees</w:t>
            </w:r>
          </w:p>
        </w:tc>
        <w:tc>
          <w:tcPr>
            <w:tcW w:w="11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Non-controlling interests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666</w:t>
            </w: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Shareholders’ equity</w:t>
            </w:r>
          </w:p>
        </w:tc>
        <w:tc>
          <w:tcPr>
            <w:tcW w:w="11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Capital stock common shares — no par value. Authorized — Unlimited number.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54,842,114 issued and outstanding (December 31, 2025 — 53,921,676 issued and outstanding)</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419,162 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equity</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164,782 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Statutory surplus reserve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(230,817)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(239,967)</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(10,305)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Total shareholders’ equity attributable to common shareholders</w:t>
            </w:r>
          </w:p>
        </w:tc>
        <w:tc>
          <w:tcPr>
            <w:tcW w:w="10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355,889</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337,891</w:t>
            </w:r>
            <w:r>
              <w:rPr>
                <w:color w:val="000000"/>
              </w:rPr>
              <w:t> </w:t>
            </w:r>
          </w:p>
        </w:tc>
        <w:tc>
          <w:tcPr>
            <w:tcW w:w="19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89,176 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Total shareholders’ equity</w:t>
            </w:r>
          </w:p>
        </w:tc>
        <w:tc>
          <w:tcPr>
            <w:tcW w:w="10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449,717</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427,067</w:t>
            </w:r>
            <w:r>
              <w:rPr>
                <w:color w:val="000000"/>
              </w:rPr>
              <w:t> </w:t>
            </w:r>
          </w:p>
        </w:tc>
        <w:tc>
          <w:tcPr>
            <w:tcW w:w="19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Total liabilities and shareholders’ equity</w:t>
            </w:r>
          </w:p>
        </w:tc>
        <w:tc>
          <w:tcPr>
            <w:tcW w:w="211"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917,897</w:t>
            </w:r>
            <w:r>
              <w:rPr>
                <w:color w:val="000000"/>
              </w:rPr>
              <w:t> </w:t>
            </w:r>
          </w:p>
        </w:tc>
        <w:tc>
          <w:tcPr>
            <w:tcW w:w="109"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4"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894,031</w:t>
            </w:r>
            <w:r>
              <w:rPr>
                <w:color w:val="000000"/>
              </w:rPr>
              <w:t> </w:t>
            </w:r>
          </w:p>
        </w:tc>
        <w:tc>
          <w:tcPr>
            <w:tcW w:w="195"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both"/>
        <w:rPr/>
      </w:pPr>
      <w:r>
        <w:rPr/>
      </w:r>
    </w:p>
    <w:p>
      <w:pPr>
        <w:pStyle w:val="TextBody"/>
        <w:bidi w:val="0"/>
        <w:spacing w:before="0" w:after="0"/>
        <w:ind w:left="0" w:right="0" w:firstLine="490"/>
        <w:jc w:val="both"/>
        <w:rPr/>
      </w:pPr>
      <w:r>
        <w:rPr/>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6"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IMAX CORPORATION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of U.S. dollars)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left"/>
        <w:rPr/>
      </w:pPr>
      <w:r>
        <w:rPr/>
      </w:r>
    </w:p>
    <w:tbl>
      <w:tblPr>
        <w:tblW w:w="8019" w:type="dxa"/>
        <w:jc w:val="left"/>
        <w:tblInd w:w="0" w:type="dxa"/>
        <w:tblLayout w:type="fixed"/>
        <w:tblCellMar>
          <w:top w:w="28" w:type="dxa"/>
          <w:left w:w="28" w:type="dxa"/>
          <w:bottom w:w="28" w:type="dxa"/>
          <w:right w:w="28" w:type="dxa"/>
        </w:tblCellMar>
      </w:tblPr>
      <w:tblGrid>
        <w:gridCol w:w="2004"/>
        <w:gridCol w:w="1762"/>
        <w:gridCol w:w="1769"/>
        <w:gridCol w:w="196"/>
        <w:gridCol w:w="751"/>
        <w:gridCol w:w="109"/>
        <w:gridCol w:w="109"/>
        <w:gridCol w:w="109"/>
        <w:gridCol w:w="109"/>
        <w:gridCol w:w="196"/>
        <w:gridCol w:w="751"/>
        <w:gridCol w:w="154"/>
      </w:tblGrid>
      <w:tr>
        <w:trPr/>
        <w:tc>
          <w:tcPr>
            <w:tcW w:w="2004"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Six Months Ended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428" w:type="dxa"/>
            <w:gridSpan w:val="6"/>
            <w:tcBorders/>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105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20,385 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cash provided by operating activities: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30,809 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Amortization of deferred financing costs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Credit loss expense (reversal),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Write-downs, including asset impairments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recovery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Share-based and other non-cash compensation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Unrealized foreign currency exchange loss (gain)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Realized and unrealized investment gain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(18,702)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Film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Lease incentives provided to exhibitor customers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Changes in other operating assets and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Net cash provided by operating activities</w:t>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36,014</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30,181</w:t>
            </w:r>
            <w:r>
              <w:rPr>
                <w:color w:val="000000"/>
              </w:rPr>
              <w:t>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105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Purchase of property, plant and equipment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Investment in equipment for joint revenue sharing arrangements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Acquisition of other intangible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(13,028)</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(22,048)</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105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Revolving credit facility borrowings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revolving credit facility borrowings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Redemption of capped calls related to convertible notes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 of convertible notes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Debt issuance costs related to convertible notes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Credit facility amendment fees paid</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Repayments of other borrowings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Repurchase of common shares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Repurchase of common shares - IMAX China</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Taxes withheld and paid on employee stock awards vested</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Common shares issued - stock options exercised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Net cash (used in) provided by financing activities</w:t>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(14,275)</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480</w:t>
            </w:r>
            <w:r>
              <w:rPr>
                <w:color w:val="000000"/>
              </w:rPr>
              <w:t>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Effects of exchange rate changes on cash</w:t>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Increase in cash and cash equivalents during period</w:t>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8,749</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8,659</w:t>
            </w:r>
            <w:r>
              <w:rPr>
                <w:color w:val="000000"/>
              </w:rPr>
              <w:t>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Cash and cash equivalents, beginning of period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151,168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100,592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Cash and cash equivalents, end of period</w:t>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159,917</w:t>
            </w:r>
            <w:r>
              <w:rPr>
                <w:color w:val="000000"/>
              </w:rPr>
              <w:t>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109,251</w:t>
            </w:r>
            <w:r>
              <w:rPr>
                <w:color w:val="000000"/>
              </w:rPr>
              <w:t>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7"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Primary Reporting Groups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Chief Executive Officer (“CEO”) is its Chief Operating Decision Maker (“CODM”), as such term is defined under U.S. GAAP. The CODM assesses segment performance based on segment revenues and segment gross margins. Selling, general and administrative expenses, research and development costs, the amortization of intangible assets, provision for (reversal of) current expected credit losses, certain write-downs, interest income, interest expense, and income tax (expense) benefit are not allocated to the Company’s segments.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two reportable segments:</w:t>
      </w:r>
    </w:p>
    <w:p>
      <w:pPr>
        <w:pStyle w:val="TextBody"/>
        <w:bidi w:val="0"/>
        <w:spacing w:before="0" w:after="0"/>
        <w:jc w:val="both"/>
        <w:rPr/>
      </w:pPr>
      <w:r>
        <w:rPr/>
      </w:r>
    </w:p>
    <w:p>
      <w:pPr>
        <w:pStyle w:val="TextBody"/>
        <w:bidi w:val="0"/>
        <w:spacing w:lineRule="auto" w:line="288" w:before="0" w:after="0"/>
        <w:ind w:left="0" w:right="0" w:hanging="432"/>
        <w:jc w:val="both"/>
        <w:rPr>
          <w:rFonts w:ascii="Times New Roman;serif" w:hAnsi="Times New Roman;serif"/>
          <w:b w:val="false"/>
          <w:color w:val="000000"/>
          <w:sz w:val="20"/>
        </w:rPr>
      </w:pPr>
      <w:r>
        <w:rPr>
          <w:rFonts w:ascii="Times New Roman;serif" w:hAnsi="Times New Roman;serif"/>
          <w:b w:val="false"/>
          <w:color w:val="000000"/>
          <w:sz w:val="20"/>
        </w:rPr>
        <w:t xml:space="preserve">(i)Content Solutions, consists of services provided to studios and other content creators, which principally includes the digital remastering of films and other content into IMAX formats for distribution to the IMAX network. To a lesser extent, the Content Solutions segment also earns revenue from the distribution of large-format documentary films and exclusive experiences ranging from live performances to interactive events with leading artists and creators, as well as film post-production services. </w:t>
      </w:r>
    </w:p>
    <w:p>
      <w:pPr>
        <w:pStyle w:val="TextBody"/>
        <w:bidi w:val="0"/>
        <w:spacing w:before="0" w:after="0"/>
        <w:jc w:val="both"/>
        <w:rPr/>
      </w:pPr>
      <w:r>
        <w:rPr/>
      </w:r>
    </w:p>
    <w:p>
      <w:pPr>
        <w:pStyle w:val="TextBody"/>
        <w:bidi w:val="0"/>
        <w:spacing w:lineRule="auto" w:line="288" w:before="0" w:after="0"/>
        <w:ind w:left="0" w:right="0" w:hanging="432"/>
        <w:jc w:val="both"/>
        <w:rPr>
          <w:rFonts w:ascii="Times New Roman;serif" w:hAnsi="Times New Roman;serif"/>
          <w:b w:val="false"/>
          <w:color w:val="000000"/>
          <w:sz w:val="20"/>
        </w:rPr>
      </w:pPr>
      <w:r>
        <w:rPr>
          <w:rFonts w:ascii="Times New Roman;serif" w:hAnsi="Times New Roman;serif"/>
          <w:b w:val="false"/>
          <w:color w:val="000000"/>
          <w:sz w:val="20"/>
        </w:rPr>
        <w:t>(ii)Technology Products and Services, which includes results from the sale or lease of IMAX Systems, as well as from the maintenance of IMAX Systems to exhibition customers. To a lesser extent, the Technology Product and Services segment also earns revenue from certain ancillary theater business activities, including after-market sales of IMAX System parts and 3D glasses.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Segment Revenue and Gross Margin</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54"/>
        <w:gridCol w:w="870"/>
        <w:gridCol w:w="873"/>
        <w:gridCol w:w="231"/>
        <w:gridCol w:w="923"/>
        <w:gridCol w:w="119"/>
        <w:gridCol w:w="119"/>
        <w:gridCol w:w="119"/>
        <w:gridCol w:w="119"/>
        <w:gridCol w:w="231"/>
        <w:gridCol w:w="808"/>
        <w:gridCol w:w="119"/>
        <w:gridCol w:w="119"/>
        <w:gridCol w:w="119"/>
        <w:gridCol w:w="119"/>
        <w:gridCol w:w="231"/>
        <w:gridCol w:w="923"/>
        <w:gridCol w:w="119"/>
        <w:gridCol w:w="119"/>
        <w:gridCol w:w="119"/>
        <w:gridCol w:w="119"/>
        <w:gridCol w:w="231"/>
        <w:gridCol w:w="923"/>
        <w:gridCol w:w="119"/>
        <w:gridCol w:w="109"/>
        <w:gridCol w:w="109"/>
        <w:gridCol w:w="109"/>
        <w:gridCol w:w="109"/>
        <w:gridCol w:w="109"/>
        <w:gridCol w:w="109"/>
        <w:gridCol w:w="109"/>
        <w:gridCol w:w="109"/>
        <w:gridCol w:w="109"/>
        <w:gridCol w:w="109"/>
        <w:gridCol w:w="109"/>
        <w:gridCol w:w="161"/>
      </w:tblGrid>
      <w:tr>
        <w:trPr/>
        <w:tc>
          <w:tcPr>
            <w:tcW w:w="1054"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2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color w:val="000000"/>
                <w:sz w:val="16"/>
              </w:rPr>
            </w:pPr>
            <w:r>
              <w:rPr>
                <w:rFonts w:ascii="Times New Roman;serif" w:hAnsi="Times New Roman;serif"/>
                <w:b/>
                <w:i/>
                <w:color w:val="000000"/>
                <w:sz w:val="16"/>
              </w:rPr>
              <w:t>(Unaudited)</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color w:val="000000"/>
                <w:sz w:val="16"/>
              </w:rPr>
            </w:pPr>
            <w:r>
              <w:rPr>
                <w:rFonts w:ascii="Times New Roman;serif" w:hAnsi="Times New Roman;serif"/>
                <w:b/>
                <w:i/>
                <w:color w:val="000000"/>
                <w:sz w:val="16"/>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27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127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2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Content Solutions</w:t>
            </w:r>
          </w:p>
        </w:tc>
        <w:tc>
          <w:tcPr>
            <w:tcW w:w="2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34,686 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33,965 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66,056 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68,214 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Products and Services</w:t>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64,809 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55,639 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113,147 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106,232 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Sub-total for reportable segments</w:t>
            </w:r>
          </w:p>
        </w:tc>
        <w:tc>
          <w:tcPr>
            <w:tcW w:w="11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99,495 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89,604 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179,203 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174,446 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9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All Other</w:t>
            </w:r>
            <w:r>
              <w:rPr>
                <w:rFonts w:ascii="Times New Roman;serif" w:hAnsi="Times New Roman;serif"/>
                <w:b w:val="false"/>
                <w:color w:val="000000"/>
                <w:sz w:val="13"/>
              </w:rPr>
              <w:t>(1)</w:t>
            </w:r>
          </w:p>
        </w:tc>
        <w:tc>
          <w:tcPr>
            <w:tcW w:w="11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102,842</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91,684</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184,221</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178,351</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Gross Margin</w:t>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Content Solutions</w:t>
            </w:r>
          </w:p>
        </w:tc>
        <w:tc>
          <w:tcPr>
            <w:tcW w:w="2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21,911 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22,431 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40,231 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45,985 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Products and Services</w:t>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39,017 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30,178 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65,899 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59,264 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Sub-total for reportable segments</w:t>
            </w:r>
          </w:p>
        </w:tc>
        <w:tc>
          <w:tcPr>
            <w:tcW w:w="11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60,928 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52,609 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106,130 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105,249 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9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All Other</w:t>
            </w:r>
            <w:r>
              <w:rPr>
                <w:rFonts w:ascii="Times New Roman;serif" w:hAnsi="Times New Roman;serif"/>
                <w:b w:val="false"/>
                <w:color w:val="000000"/>
                <w:sz w:val="13"/>
              </w:rPr>
              <w:t>(1)</w:t>
            </w:r>
          </w:p>
        </w:tc>
        <w:tc>
          <w:tcPr>
            <w:tcW w:w="11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62,896</w:t>
            </w:r>
            <w:r>
              <w:rPr>
                <w:color w:val="000000"/>
              </w:rPr>
              <w:t>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53,602</w:t>
            </w:r>
            <w:r>
              <w:rPr>
                <w:color w:val="000000"/>
              </w:rPr>
              <w:t>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108,707</w:t>
            </w:r>
            <w:r>
              <w:rPr>
                <w:color w:val="000000"/>
              </w:rPr>
              <w:t>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106,778</w:t>
            </w:r>
            <w:r>
              <w:rPr>
                <w:color w:val="000000"/>
              </w:rPr>
              <w:t>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845" w:type="dxa"/>
            <w:gridSpan w:val="24"/>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914400" cy="14605"/>
                  <wp:effectExtent l="0" t="0" r="0" b="0"/>
                  <wp:docPr id="1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4" descr=""/>
                          <pic:cNvPicPr>
                            <a:picLocks noChangeAspect="1" noChangeArrowheads="1"/>
                          </pic:cNvPicPr>
                        </pic:nvPicPr>
                        <pic:blipFill>
                          <a:blip r:embed="rId5"/>
                          <a:stretch>
                            <a:fillRect/>
                          </a:stretch>
                        </pic:blipFill>
                        <pic:spPr bwMode="auto">
                          <a:xfrm>
                            <a:off x="0" y="0"/>
                            <a:ext cx="914400" cy="14605"/>
                          </a:xfrm>
                          <a:prstGeom prst="rect">
                            <a:avLst/>
                          </a:prstGeom>
                        </pic:spPr>
                      </pic:pic>
                    </a:graphicData>
                  </a:graphic>
                </wp:inline>
              </w:drawing>
            </w:r>
          </w:p>
          <w:p>
            <w:pPr>
              <w:pStyle w:val="TableContents"/>
              <w:bidi w:val="0"/>
              <w:spacing w:lineRule="auto" w:line="288" w:before="0" w:after="0"/>
              <w:ind w:left="0" w:right="0" w:hanging="360"/>
              <w:jc w:val="left"/>
              <w:rPr>
                <w:rFonts w:ascii="Times New Roman;serif" w:hAnsi="Times New Roman;serif"/>
                <w:b w:val="false"/>
                <w:i/>
                <w:color w:val="000000"/>
                <w:sz w:val="16"/>
              </w:rPr>
            </w:pPr>
            <w:r>
              <w:rPr>
                <w:rFonts w:ascii="Times New Roman;serif" w:hAnsi="Times New Roman;serif"/>
                <w:b w:val="false"/>
                <w:i/>
                <w:color w:val="000000"/>
                <w:sz w:val="16"/>
              </w:rPr>
              <w:t>(1)All Other includes the results from the Company’s Streaming and Consumer Technology business, as well as other ancillary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gridSpan w:val="4"/>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9"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IMAX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this release, the Company presents adjusted net income attributable to common shareholders and adjusted net income attributable to common shareholders per diluted share, EBITDA, Adjusted EBITDA per Credit Facility, Adjusted EBITDA margin and free cash flow as supplemental measures of the Company’s performance, which are not recognized under U.S. GAAP.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A reconciliation from net income (loss) attributable to common shareholders and net income (loss) attributable to common shareholder per diluted</w:t>
      </w:r>
      <w:r>
        <w:rPr>
          <w:color w:val="000000"/>
        </w:rPr>
        <w:t xml:space="preserve"> </w:t>
      </w:r>
      <w:r>
        <w:rPr>
          <w:rFonts w:ascii="Times New Roman;serif" w:hAnsi="Times New Roman;serif"/>
          <w:b w:val="false"/>
          <w:color w:val="000000"/>
          <w:sz w:val="20"/>
        </w:rPr>
        <w:t>share to adjusted net income attributable to common shareholders and adjusted net income attributable to common shareholders per diluted share is presented in the table below. Net income (loss) attributable to common shareholders and net income (loss) attributable to common shareholder per diluted share are the most directly comparable U.S. GAAP measures because they reflect the earnings relevant to the Company’s shareholders, rather than the earnings attributable to non-controlling interests.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Adjusted net income or loss attributable to common shareholders and adjusted net income or loss attributable to common shareholders per basic and diluted share exclude, where applicable: (i) share-based compensation; (ii) realized and unrealized investment gains or losses; (iii) goodwill impairment; (iv) restructuring charges and other impairments; (v) employee retention credits; and (vi) induced conversion expense on settlement of convertible notes; as well as the related tax impact of these adjustments.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believes that these non-GAAP financial measures are important supplemental measures that allow management and users of the Company’s financial statements to view operating trends and analyze controllable operating performance on a comparable basis between periods without the after-tax impact of share-based compensation and certain unusual items included in net income attributable to common shareholders. Although share-based compensation is an important aspect of the Company’s employee and executive compensation packages, it is a non-cash expense and is excluded from certain internal business performance measures.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the non-GAAP financial measures discussed above, management also uses “EBITDA,” as such term is defined in the Credit Agreement, and which is referred to herein as “Adjusted EBITDA per Credit Facility” as well as “Adjusted EBITDA margin.” As defined in the Credit Agreement, Adjusted EBITDA per Credit Facility includes adjustments in addition to the exclusion of interest, taxes, depreciation and amortization. Accordingly, this non-GAAP financial measure is presented to allow a more comprehensive analysis of the Company’s operating performance and to provide additional information with respect to the Company’s compliance with its Credit Agreement requirements, when applicable. In addition, the Company believes that Adjusted EBITDA per Credit Facility and Adjusted EBITDA margin present relevant and useful information widely used by analysts, investors and other interested parties in the Company’s industry to evaluate, assess and benchmark the Company’s results.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EBITDA is defined as net income or loss excluding: (i) income tax expense or benefit; (ii) interest expense, net of interest income; (iii) depreciation and amortization, including film asset amortization; and (iv) amortization of deferred financing costs. Total Adjusted EBITDA is defined as EBITDA excluding: (i) share-based and other non-cash compensation expense; (ii) realized and unrealized investment losses or gains; (iii) restructuring charges and other impairments; (iv) write-downs including goodwill, asset impairments and credit loss expense and (v) induced conversion expense on settlement of convertible notes. Adjusted EBITDA per Credit Facility is defined as EBITDA excluding: (i) share-based and other non-cash compensation; (ii) realized and unrealized investment gains or losses; (iii) restructuring charges and other impairments; (iv) write-downs, net of recoveries, including goodwill, asset impairments and credit loss expense or reversal and (v) induced conversion expense on settlement of convertible notes. Total Adjusted EBITDA Margin is defined as Total Adjusted EBITDA divided by revenue.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reconciliation of net income (loss) attributable to common shareholders, which is the most directly comparable GAAP measure, to EBITDA, Adjusted EBITDA per Credit Facility and Adjusted EBITDA Margin is presented in the table below. Net income (loss) attributable to common shareholders is the most directly comparable U.S. GAAP measure because it reflects the earnings relevant to the Company’s shareholders, rather than the earnings attributable to non-controlling interests.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this release, the Company also presents free cash flow, which is not recognized under U.S. GAAP, as a supplemental measure of the Company’s liquidity. The Company’s definition of free cash flow deducts only normal recurring capital expenditures, including the Company’s investment in joint revenue sharing arrangements, the purchase of property, plant and equipment and the acquisition of other intangible assets (from the Condensed Consolidated Statements of Cash Flows), from net cash provided by or used in operating activities. Management believes that free cash flow is a supplemental measure of the cash flow available to reduce debt, add to cash balances, and fund other financing activities. Free cash flow does not represent residual cash flow available for discretionary expenditures. A reconciliation of cash used in operating activities to free cash flow is presented below.</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0"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Adjusted EBITDA per Credit Facility</w:t>
      </w:r>
    </w:p>
    <w:p>
      <w:pPr>
        <w:pStyle w:val="TextBody"/>
        <w:bidi w:val="0"/>
        <w:spacing w:before="0" w:after="0"/>
        <w:jc w:val="both"/>
        <w:rPr/>
      </w:pPr>
      <w:r>
        <w:rPr/>
      </w:r>
    </w:p>
    <w:tbl>
      <w:tblPr>
        <w:tblW w:w="9865" w:type="dxa"/>
        <w:jc w:val="left"/>
        <w:tblInd w:w="0" w:type="dxa"/>
        <w:tblLayout w:type="fixed"/>
        <w:tblCellMar>
          <w:top w:w="28" w:type="dxa"/>
          <w:left w:w="28" w:type="dxa"/>
          <w:bottom w:w="28" w:type="dxa"/>
          <w:right w:w="28" w:type="dxa"/>
        </w:tblCellMar>
      </w:tblPr>
      <w:tblGrid>
        <w:gridCol w:w="2506"/>
        <w:gridCol w:w="2207"/>
        <w:gridCol w:w="2214"/>
        <w:gridCol w:w="233"/>
        <w:gridCol w:w="931"/>
        <w:gridCol w:w="120"/>
        <w:gridCol w:w="120"/>
        <w:gridCol w:w="120"/>
        <w:gridCol w:w="120"/>
        <w:gridCol w:w="248"/>
        <w:gridCol w:w="866"/>
        <w:gridCol w:w="180"/>
      </w:tblGrid>
      <w:tr>
        <w:trPr/>
        <w:tc>
          <w:tcPr>
            <w:tcW w:w="2506" w:type="dxa"/>
            <w:tcBorders/>
            <w:vAlign w:val="center"/>
          </w:tcPr>
          <w:p>
            <w:pPr>
              <w:pStyle w:val="TableContents"/>
              <w:bidi w:val="0"/>
              <w:spacing w:before="0" w:after="283"/>
              <w:jc w:val="left"/>
              <w:rPr>
                <w:sz w:val="4"/>
                <w:szCs w:val="4"/>
              </w:rPr>
            </w:pPr>
            <w:r>
              <w:rPr>
                <w:sz w:val="4"/>
                <w:szCs w:val="4"/>
              </w:rPr>
            </w:r>
          </w:p>
        </w:tc>
        <w:tc>
          <w:tcPr>
            <w:tcW w:w="2207"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6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8" w:type="dxa"/>
            <w:gridSpan w:val="9"/>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 xml:space="preserve">Three Months Ended </w:t>
            </w:r>
            <w:r>
              <w:rPr>
                <w:rFonts w:ascii="Times New Roman;serif" w:hAnsi="Times New Roman;serif"/>
                <w:b/>
                <w:i/>
                <w:color w:val="000000"/>
                <w:sz w:val="16"/>
              </w:rPr>
              <w:t>(Unaudited)</w:t>
            </w:r>
          </w:p>
        </w:tc>
      </w:tr>
      <w:tr>
        <w:trPr/>
        <w:tc>
          <w:tcPr>
            <w:tcW w:w="69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12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June 30, 2026</w:t>
            </w:r>
          </w:p>
        </w:tc>
        <w:tc>
          <w:tcPr>
            <w:tcW w:w="36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69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102,842</w:t>
            </w:r>
            <w:r>
              <w:rPr>
                <w:color w:val="000000"/>
              </w:rPr>
              <w:t> </w:t>
            </w:r>
          </w:p>
        </w:tc>
        <w:tc>
          <w:tcPr>
            <w:tcW w:w="1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91,684</w:t>
            </w:r>
            <w:r>
              <w:rPr>
                <w:color w:val="000000"/>
              </w:rPr>
              <w:t> </w:t>
            </w:r>
          </w:p>
        </w:tc>
        <w:tc>
          <w:tcPr>
            <w:tcW w:w="18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3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15,908 </w:t>
            </w:r>
          </w:p>
        </w:tc>
        <w:tc>
          <w:tcPr>
            <w:tcW w:w="12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12,235 </w:t>
            </w:r>
          </w:p>
        </w:tc>
        <w:tc>
          <w:tcPr>
            <w:tcW w:w="18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Add (subtract):</w:t>
            </w:r>
          </w:p>
        </w:tc>
        <w:tc>
          <w:tcPr>
            <w:tcW w:w="1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 of interest income</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including film asset amortization</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15,685 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15,896 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Amortization of deferred financing costs</w:t>
            </w:r>
            <w:r>
              <w:rPr>
                <w:rFonts w:ascii="Times New Roman;serif" w:hAnsi="Times New Roman;serif"/>
                <w:b w:val="false"/>
                <w:color w:val="000000"/>
                <w:sz w:val="13"/>
              </w:rPr>
              <w:t>(1)</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23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36,410 </w:t>
            </w:r>
          </w:p>
        </w:tc>
        <w:tc>
          <w:tcPr>
            <w:tcW w:w="12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30,142 </w:t>
            </w:r>
          </w:p>
        </w:tc>
        <w:tc>
          <w:tcPr>
            <w:tcW w:w="18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Share-based and other non-cash compensation</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7,382 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7,492 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investment gains</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69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 and other impairments</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Write-downs, including asset impairments and credit loss expense</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69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69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Total Adjusted EBITDA </w:t>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47,966</w:t>
            </w:r>
            <w:r>
              <w:rPr>
                <w:color w:val="000000"/>
              </w:rPr>
              <w:t> </w:t>
            </w:r>
          </w:p>
        </w:tc>
        <w:tc>
          <w:tcPr>
            <w:tcW w:w="1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39,058</w:t>
            </w:r>
            <w:r>
              <w:rPr>
                <w:color w:val="000000"/>
              </w:rPr>
              <w:t> </w:t>
            </w:r>
          </w:p>
        </w:tc>
        <w:tc>
          <w:tcPr>
            <w:tcW w:w="18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Non-controlling interest</w:t>
            </w:r>
          </w:p>
        </w:tc>
        <w:tc>
          <w:tcPr>
            <w:tcW w:w="116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(2,337)</w:t>
            </w:r>
          </w:p>
        </w:tc>
        <w:tc>
          <w:tcPr>
            <w:tcW w:w="12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(2,372)</w:t>
            </w:r>
          </w:p>
        </w:tc>
        <w:tc>
          <w:tcPr>
            <w:tcW w:w="18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per Credit Facility - attributable to common shareholders</w:t>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45,629 </w:t>
            </w:r>
          </w:p>
        </w:tc>
        <w:tc>
          <w:tcPr>
            <w:tcW w:w="1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36,686 </w:t>
            </w:r>
          </w:p>
        </w:tc>
        <w:tc>
          <w:tcPr>
            <w:tcW w:w="18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69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69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69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69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69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9865" w:type="dxa"/>
            <w:gridSpan w:val="12"/>
            <w:tcBorders/>
            <w:tcMar>
              <w:top w:w="0" w:type="dxa"/>
              <w:left w:w="0" w:type="dxa"/>
              <w:bottom w:w="0" w:type="dxa"/>
              <w:right w:w="0" w:type="dxa"/>
            </w:tcMar>
            <w:vAlign w:val="center"/>
          </w:tcPr>
          <w:p>
            <w:pPr>
              <w:pStyle w:val="TableContents"/>
              <w:bidi w:val="0"/>
              <w:spacing w:before="0" w:after="0"/>
              <w:jc w:val="both"/>
              <w:rPr/>
            </w:pPr>
            <w:r>
              <w:rPr/>
              <w:drawing>
                <wp:inline distT="0" distB="0" distL="0" distR="0">
                  <wp:extent cx="914400" cy="14605"/>
                  <wp:effectExtent l="0" t="0" r="0" b="0"/>
                  <wp:docPr id="2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5" descr=""/>
                          <pic:cNvPicPr>
                            <a:picLocks noChangeAspect="1" noChangeArrowheads="1"/>
                          </pic:cNvPicPr>
                        </pic:nvPicPr>
                        <pic:blipFill>
                          <a:blip r:embed="rId6"/>
                          <a:stretch>
                            <a:fillRect/>
                          </a:stretch>
                        </pic:blipFill>
                        <pic:spPr bwMode="auto">
                          <a:xfrm>
                            <a:off x="0" y="0"/>
                            <a:ext cx="914400" cy="14605"/>
                          </a:xfrm>
                          <a:prstGeom prst="rect">
                            <a:avLst/>
                          </a:prstGeom>
                        </pic:spPr>
                      </pic:pic>
                    </a:graphicData>
                  </a:graphic>
                </wp:inline>
              </w:drawing>
            </w:r>
          </w:p>
          <w:p>
            <w:pPr>
              <w:pStyle w:val="TableContents"/>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 xml:space="preserve">(1)The amortization of deferred financing costs is recorded within Interest Expense in the Condensed Consolidated Statement of Operations.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Adjusted EBITDA per Credit Facility</w:t>
      </w:r>
    </w:p>
    <w:p>
      <w:pPr>
        <w:pStyle w:val="TextBody"/>
        <w:bidi w:val="0"/>
        <w:spacing w:before="0" w:after="0"/>
        <w:jc w:val="both"/>
        <w:rPr/>
      </w:pPr>
      <w:r>
        <w:rPr/>
      </w:r>
    </w:p>
    <w:tbl>
      <w:tblPr>
        <w:tblW w:w="9868" w:type="dxa"/>
        <w:jc w:val="left"/>
        <w:tblInd w:w="0" w:type="dxa"/>
        <w:tblLayout w:type="fixed"/>
        <w:tblCellMar>
          <w:top w:w="28" w:type="dxa"/>
          <w:left w:w="28" w:type="dxa"/>
          <w:bottom w:w="28" w:type="dxa"/>
          <w:right w:w="28" w:type="dxa"/>
        </w:tblCellMar>
      </w:tblPr>
      <w:tblGrid>
        <w:gridCol w:w="2498"/>
        <w:gridCol w:w="2200"/>
        <w:gridCol w:w="2205"/>
        <w:gridCol w:w="232"/>
        <w:gridCol w:w="926"/>
        <w:gridCol w:w="120"/>
        <w:gridCol w:w="120"/>
        <w:gridCol w:w="120"/>
        <w:gridCol w:w="120"/>
        <w:gridCol w:w="232"/>
        <w:gridCol w:w="926"/>
        <w:gridCol w:w="169"/>
      </w:tblGrid>
      <w:tr>
        <w:trPr/>
        <w:tc>
          <w:tcPr>
            <w:tcW w:w="2498" w:type="dxa"/>
            <w:tcBorders/>
            <w:vAlign w:val="center"/>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6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Twelve Months Ended</w:t>
            </w:r>
            <w:r>
              <w:rPr>
                <w:color w:val="000000"/>
              </w:rPr>
              <w:t xml:space="preserve"> </w:t>
            </w:r>
            <w:r>
              <w:rPr>
                <w:rFonts w:ascii="Times New Roman;serif" w:hAnsi="Times New Roman;serif"/>
                <w:b/>
                <w:i/>
                <w:color w:val="000000"/>
                <w:sz w:val="16"/>
              </w:rPr>
              <w:t>(Unaudited)</w:t>
            </w:r>
          </w:p>
        </w:tc>
      </w:tr>
      <w:tr>
        <w:trPr/>
        <w:tc>
          <w:tcPr>
            <w:tcW w:w="690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127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June 30, 2026</w:t>
            </w:r>
          </w:p>
        </w:tc>
        <w:tc>
          <w:tcPr>
            <w:tcW w:w="36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69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23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416,082</w:t>
            </w:r>
            <w:r>
              <w:rPr>
                <w:color w:val="000000"/>
              </w:rPr>
              <w:t> </w:t>
            </w:r>
          </w:p>
        </w:tc>
        <w:tc>
          <w:tcPr>
            <w:tcW w:w="1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362,475</w:t>
            </w:r>
            <w:r>
              <w:rPr>
                <w:color w:val="000000"/>
              </w:rPr>
              <w:t> </w:t>
            </w:r>
          </w:p>
        </w:tc>
        <w:tc>
          <w:tcPr>
            <w:tcW w:w="16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5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47,120 </w:t>
            </w:r>
          </w:p>
        </w:tc>
        <w:tc>
          <w:tcPr>
            <w:tcW w:w="12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42,594 </w:t>
            </w:r>
          </w:p>
        </w:tc>
        <w:tc>
          <w:tcPr>
            <w:tcW w:w="16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Add (subtract):</w:t>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15,212 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12,317 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 of interest income</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including film asset amortization</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62,558 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62,310 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Amortization of deferred financing costs</w:t>
            </w:r>
            <w:r>
              <w:rPr>
                <w:rFonts w:ascii="Times New Roman;serif" w:hAnsi="Times New Roman;serif"/>
                <w:b w:val="false"/>
                <w:color w:val="000000"/>
                <w:sz w:val="13"/>
              </w:rPr>
              <w:t>(1)</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23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130,115 </w:t>
            </w:r>
          </w:p>
        </w:tc>
        <w:tc>
          <w:tcPr>
            <w:tcW w:w="12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122,069 </w:t>
            </w:r>
          </w:p>
        </w:tc>
        <w:tc>
          <w:tcPr>
            <w:tcW w:w="16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Share-based and other non-cash compensation</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27,232 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24,222 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investment losses (gains)</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3"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690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charges and other impairments</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Write-downs, including goodwill, asset impairments and credit loss expense</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9,969 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Induced conversion expense on settlement of convertible notes</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15,264 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Total Adjusted EBITDA </w:t>
            </w:r>
          </w:p>
        </w:tc>
        <w:tc>
          <w:tcPr>
            <w:tcW w:w="23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187,387</w:t>
            </w:r>
            <w:r>
              <w:rPr>
                <w:color w:val="000000"/>
              </w:rPr>
              <w:t> </w:t>
            </w:r>
          </w:p>
        </w:tc>
        <w:tc>
          <w:tcPr>
            <w:tcW w:w="12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151,917</w:t>
            </w:r>
            <w:r>
              <w:rPr>
                <w:color w:val="000000"/>
              </w:rPr>
              <w:t> </w:t>
            </w:r>
          </w:p>
        </w:tc>
        <w:tc>
          <w:tcPr>
            <w:tcW w:w="16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Non-controlling interest</w:t>
            </w:r>
          </w:p>
        </w:tc>
        <w:tc>
          <w:tcPr>
            <w:tcW w:w="115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(13,932)</w:t>
            </w:r>
          </w:p>
        </w:tc>
        <w:tc>
          <w:tcPr>
            <w:tcW w:w="1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(17,404)</w:t>
            </w:r>
          </w:p>
        </w:tc>
        <w:tc>
          <w:tcPr>
            <w:tcW w:w="16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per Credit Facility - attributable to common shareholders</w:t>
            </w:r>
          </w:p>
        </w:tc>
        <w:tc>
          <w:tcPr>
            <w:tcW w:w="23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173,455 </w:t>
            </w:r>
          </w:p>
        </w:tc>
        <w:tc>
          <w:tcPr>
            <w:tcW w:w="12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134,513 </w:t>
            </w:r>
          </w:p>
        </w:tc>
        <w:tc>
          <w:tcPr>
            <w:tcW w:w="16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3"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6903"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6903"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6903"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6903"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6903"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9868" w:type="dxa"/>
            <w:gridSpan w:val="12"/>
            <w:tcBorders/>
            <w:tcMar>
              <w:top w:w="0" w:type="dxa"/>
              <w:left w:w="0" w:type="dxa"/>
              <w:bottom w:w="0" w:type="dxa"/>
              <w:right w:w="0" w:type="dxa"/>
            </w:tcMar>
            <w:vAlign w:val="center"/>
          </w:tcPr>
          <w:p>
            <w:pPr>
              <w:pStyle w:val="TableContents"/>
              <w:bidi w:val="0"/>
              <w:spacing w:before="0" w:after="0"/>
              <w:jc w:val="both"/>
              <w:rPr/>
            </w:pPr>
            <w:r>
              <w:rPr/>
              <w:drawing>
                <wp:inline distT="0" distB="0" distL="0" distR="0">
                  <wp:extent cx="914400" cy="14605"/>
                  <wp:effectExtent l="0" t="0" r="0" b="0"/>
                  <wp:docPr id="2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6" descr=""/>
                          <pic:cNvPicPr>
                            <a:picLocks noChangeAspect="1" noChangeArrowheads="1"/>
                          </pic:cNvPicPr>
                        </pic:nvPicPr>
                        <pic:blipFill>
                          <a:blip r:embed="rId7"/>
                          <a:stretch>
                            <a:fillRect/>
                          </a:stretch>
                        </pic:blipFill>
                        <pic:spPr bwMode="auto">
                          <a:xfrm>
                            <a:off x="0" y="0"/>
                            <a:ext cx="914400" cy="14605"/>
                          </a:xfrm>
                          <a:prstGeom prst="rect">
                            <a:avLst/>
                          </a:prstGeom>
                        </pic:spPr>
                      </pic:pic>
                    </a:graphicData>
                  </a:graphic>
                </wp:inline>
              </w:drawing>
            </w:r>
          </w:p>
          <w:p>
            <w:pPr>
              <w:pStyle w:val="TableContents"/>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 xml:space="preserve">(1)The amortization of deferred financing costs is recorded within Interest Expense in the Condensed Consolidated Statement of Operations.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3"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Adjusted Net Income Attributable to Common Shareholders and Adjusted Net Income Per Share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646" w:type="dxa"/>
        <w:jc w:val="left"/>
        <w:tblInd w:w="0" w:type="dxa"/>
        <w:tblLayout w:type="fixed"/>
        <w:tblCellMar>
          <w:top w:w="28" w:type="dxa"/>
          <w:left w:w="28" w:type="dxa"/>
          <w:bottom w:w="28" w:type="dxa"/>
          <w:right w:w="28" w:type="dxa"/>
        </w:tblCellMar>
      </w:tblPr>
      <w:tblGrid>
        <w:gridCol w:w="1661"/>
        <w:gridCol w:w="1461"/>
        <w:gridCol w:w="1467"/>
        <w:gridCol w:w="211"/>
        <w:gridCol w:w="721"/>
        <w:gridCol w:w="109"/>
        <w:gridCol w:w="109"/>
        <w:gridCol w:w="109"/>
        <w:gridCol w:w="109"/>
        <w:gridCol w:w="247"/>
        <w:gridCol w:w="600"/>
        <w:gridCol w:w="128"/>
        <w:gridCol w:w="109"/>
        <w:gridCol w:w="109"/>
        <w:gridCol w:w="109"/>
        <w:gridCol w:w="211"/>
        <w:gridCol w:w="721"/>
        <w:gridCol w:w="109"/>
        <w:gridCol w:w="109"/>
        <w:gridCol w:w="109"/>
        <w:gridCol w:w="109"/>
        <w:gridCol w:w="245"/>
        <w:gridCol w:w="595"/>
        <w:gridCol w:w="179"/>
      </w:tblGrid>
      <w:tr>
        <w:trPr/>
        <w:tc>
          <w:tcPr>
            <w:tcW w:w="1661"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7"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Three Months Ended June 30,</w:t>
            </w:r>
          </w:p>
          <w:p>
            <w:pPr>
              <w:pStyle w:val="TableContents"/>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(Unaudited)</w:t>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 except per diluted share amounts)</w:t>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Net 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Per Diluted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Net 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Per Diluted </w:t>
              <w:br/>
              <w:t>Share</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shareholders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15,402 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12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11,255 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7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Adjustments</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investment gains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charges and other impairments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retention credits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Tax impact on items listed above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Adjusted net income</w:t>
            </w:r>
            <w:r>
              <w:rPr>
                <w:rFonts w:ascii="Times New Roman;serif" w:hAnsi="Times New Roman;serif"/>
                <w:b w:val="false"/>
                <w:color w:val="000000"/>
                <w:sz w:val="13"/>
              </w:rPr>
              <w:t>(1)</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24,209 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0.43 </w:t>
            </w:r>
          </w:p>
        </w:tc>
        <w:tc>
          <w:tcPr>
            <w:tcW w:w="12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14,607 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0.26 </w:t>
            </w:r>
          </w:p>
        </w:tc>
        <w:tc>
          <w:tcPr>
            <w:tcW w:w="17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(in thousands):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54,951 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53,751 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56,569 </w:t>
            </w:r>
          </w:p>
        </w:tc>
        <w:tc>
          <w:tcPr>
            <w:tcW w:w="12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55,161 </w:t>
            </w:r>
          </w:p>
        </w:tc>
        <w:tc>
          <w:tcPr>
            <w:tcW w:w="17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drawing>
          <wp:inline distT="0" distB="0" distL="0" distR="0">
            <wp:extent cx="914400" cy="14605"/>
            <wp:effectExtent l="0" t="0" r="0" b="0"/>
            <wp:docPr id="2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7" descr=""/>
                    <pic:cNvPicPr>
                      <a:picLocks noChangeAspect="1" noChangeArrowheads="1"/>
                    </pic:cNvPicPr>
                  </pic:nvPicPr>
                  <pic:blipFill>
                    <a:blip r:embed="rId8"/>
                    <a:stretch>
                      <a:fillRect/>
                    </a:stretch>
                  </pic:blipFill>
                  <pic:spPr bwMode="auto">
                    <a:xfrm>
                      <a:off x="0" y="0"/>
                      <a:ext cx="914400" cy="14605"/>
                    </a:xfrm>
                    <a:prstGeom prst="rect">
                      <a:avLst/>
                    </a:prstGeom>
                  </pic:spPr>
                </pic:pic>
              </a:graphicData>
            </a:graphic>
          </wp:inline>
        </w:drawing>
      </w:r>
    </w:p>
    <w:p>
      <w:pPr>
        <w:pStyle w:val="TextBody"/>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(1)Reflects amounts attributable to common shareholders.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646" w:type="dxa"/>
        <w:jc w:val="left"/>
        <w:tblInd w:w="0" w:type="dxa"/>
        <w:tblLayout w:type="fixed"/>
        <w:tblCellMar>
          <w:top w:w="28" w:type="dxa"/>
          <w:left w:w="28" w:type="dxa"/>
          <w:bottom w:w="28" w:type="dxa"/>
          <w:right w:w="28" w:type="dxa"/>
        </w:tblCellMar>
      </w:tblPr>
      <w:tblGrid>
        <w:gridCol w:w="1661"/>
        <w:gridCol w:w="1461"/>
        <w:gridCol w:w="1467"/>
        <w:gridCol w:w="211"/>
        <w:gridCol w:w="721"/>
        <w:gridCol w:w="109"/>
        <w:gridCol w:w="109"/>
        <w:gridCol w:w="109"/>
        <w:gridCol w:w="109"/>
        <w:gridCol w:w="247"/>
        <w:gridCol w:w="600"/>
        <w:gridCol w:w="128"/>
        <w:gridCol w:w="109"/>
        <w:gridCol w:w="109"/>
        <w:gridCol w:w="109"/>
        <w:gridCol w:w="211"/>
        <w:gridCol w:w="721"/>
        <w:gridCol w:w="109"/>
        <w:gridCol w:w="109"/>
        <w:gridCol w:w="109"/>
        <w:gridCol w:w="109"/>
        <w:gridCol w:w="245"/>
        <w:gridCol w:w="595"/>
        <w:gridCol w:w="179"/>
      </w:tblGrid>
      <w:tr>
        <w:trPr/>
        <w:tc>
          <w:tcPr>
            <w:tcW w:w="1661"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7"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Six Months Ended June 30,</w:t>
            </w:r>
          </w:p>
          <w:p>
            <w:pPr>
              <w:pStyle w:val="TableContents"/>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(Unaudited)</w:t>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 except per diluted share amounts)</w:t>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Net 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Per Diluted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Net 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Per Diluted </w:t>
              <w:br/>
              <w:t>Share</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shareholders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19,628 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2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13,582 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7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Adjustments</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investment gains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charges and other impairments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retention credits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Tax impact on items listed above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Adjusted net income</w:t>
            </w:r>
            <w:r>
              <w:rPr>
                <w:rFonts w:ascii="Times New Roman;serif" w:hAnsi="Times New Roman;serif"/>
                <w:b w:val="false"/>
                <w:color w:val="000000"/>
                <w:sz w:val="13"/>
              </w:rPr>
              <w:t>(1)</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33,779 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0.60 </w:t>
            </w:r>
          </w:p>
        </w:tc>
        <w:tc>
          <w:tcPr>
            <w:tcW w:w="12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21,785 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17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(in thousands):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54,537 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53,448 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56,475 </w:t>
            </w:r>
          </w:p>
        </w:tc>
        <w:tc>
          <w:tcPr>
            <w:tcW w:w="12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55,064 </w:t>
            </w:r>
          </w:p>
        </w:tc>
        <w:tc>
          <w:tcPr>
            <w:tcW w:w="17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drawing>
          <wp:inline distT="0" distB="0" distL="0" distR="0">
            <wp:extent cx="914400" cy="14605"/>
            <wp:effectExtent l="0" t="0" r="0" b="0"/>
            <wp:docPr id="2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8" descr=""/>
                    <pic:cNvPicPr>
                      <a:picLocks noChangeAspect="1" noChangeArrowheads="1"/>
                    </pic:cNvPicPr>
                  </pic:nvPicPr>
                  <pic:blipFill>
                    <a:blip r:embed="rId9"/>
                    <a:stretch>
                      <a:fillRect/>
                    </a:stretch>
                  </pic:blipFill>
                  <pic:spPr bwMode="auto">
                    <a:xfrm>
                      <a:off x="0" y="0"/>
                      <a:ext cx="914400" cy="14605"/>
                    </a:xfrm>
                    <a:prstGeom prst="rect">
                      <a:avLst/>
                    </a:prstGeom>
                  </pic:spPr>
                </pic:pic>
              </a:graphicData>
            </a:graphic>
          </wp:inline>
        </w:drawing>
      </w:r>
    </w:p>
    <w:p>
      <w:pPr>
        <w:pStyle w:val="TextBody"/>
        <w:bidi w:val="0"/>
        <w:spacing w:lineRule="auto" w:line="288" w:before="0" w:after="0"/>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(1)Reflects amounts attributable to common shareholders.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Free Cash Flow </w:t>
      </w:r>
    </w:p>
    <w:tbl>
      <w:tblPr>
        <w:tblW w:w="7763" w:type="dxa"/>
        <w:jc w:val="left"/>
        <w:tblInd w:w="0" w:type="dxa"/>
        <w:tblLayout w:type="fixed"/>
        <w:tblCellMar>
          <w:top w:w="28" w:type="dxa"/>
          <w:left w:w="28" w:type="dxa"/>
          <w:bottom w:w="28" w:type="dxa"/>
          <w:right w:w="28" w:type="dxa"/>
        </w:tblCellMar>
      </w:tblPr>
      <w:tblGrid>
        <w:gridCol w:w="1921"/>
        <w:gridCol w:w="1691"/>
        <w:gridCol w:w="1697"/>
        <w:gridCol w:w="211"/>
        <w:gridCol w:w="721"/>
        <w:gridCol w:w="109"/>
        <w:gridCol w:w="109"/>
        <w:gridCol w:w="109"/>
        <w:gridCol w:w="109"/>
        <w:gridCol w:w="211"/>
        <w:gridCol w:w="721"/>
        <w:gridCol w:w="154"/>
      </w:tblGrid>
      <w:tr>
        <w:trPr/>
        <w:tc>
          <w:tcPr>
            <w:tcW w:w="1921"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Six Months Ended June 30,</w:t>
            </w:r>
          </w:p>
          <w:p>
            <w:pPr>
              <w:pStyle w:val="TableContents"/>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(Unaudited)</w:t>
            </w:r>
          </w:p>
        </w:tc>
      </w:tr>
      <w:tr>
        <w:trPr/>
        <w:tc>
          <w:tcPr>
            <w:tcW w:w="53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413" w:type="dxa"/>
            <w:gridSpan w:val="6"/>
            <w:tcBorders/>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36,014 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30,181 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plant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other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Free cash flow before growth CAPEX</w:t>
            </w:r>
            <w:r>
              <w:rPr>
                <w:rFonts w:ascii="Times New Roman;serif" w:hAnsi="Times New Roman;serif"/>
                <w:b w:val="false"/>
                <w:color w:val="000000"/>
                <w:sz w:val="13"/>
              </w:rPr>
              <w:t>(1)</w:t>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31,709 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22,799 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equipment for joint revenue sharing arrangements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22,986 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8,133 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drawing>
          <wp:inline distT="0" distB="0" distL="0" distR="0">
            <wp:extent cx="914400" cy="14605"/>
            <wp:effectExtent l="0" t="0" r="0" b="0"/>
            <wp:docPr id="2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9" descr=""/>
                    <pic:cNvPicPr>
                      <a:picLocks noChangeAspect="1" noChangeArrowheads="1"/>
                    </pic:cNvPicPr>
                  </pic:nvPicPr>
                  <pic:blipFill>
                    <a:blip r:embed="rId10"/>
                    <a:stretch>
                      <a:fillRect/>
                    </a:stretch>
                  </pic:blipFill>
                  <pic:spPr bwMode="auto">
                    <a:xfrm>
                      <a:off x="0" y="0"/>
                      <a:ext cx="914400" cy="14605"/>
                    </a:xfrm>
                    <a:prstGeom prst="rect">
                      <a:avLst/>
                    </a:prstGeom>
                  </pic:spPr>
                </pic:pic>
              </a:graphicData>
            </a:graphic>
          </wp:inline>
        </w:drawing>
      </w:r>
    </w:p>
    <w:p>
      <w:pPr>
        <w:pStyle w:val="TextBody"/>
        <w:bidi w:val="0"/>
        <w:spacing w:lineRule="auto" w:line="288"/>
        <w:ind w:left="0" w:right="0" w:hanging="360"/>
        <w:jc w:val="both"/>
        <w:rPr>
          <w:rFonts w:ascii="Times New Roman;serif" w:hAnsi="Times New Roman;serif"/>
          <w:b w:val="false"/>
          <w:i/>
          <w:color w:val="000000"/>
          <w:sz w:val="16"/>
        </w:rPr>
      </w:pPr>
      <w:r>
        <w:rPr>
          <w:rFonts w:ascii="Times New Roman;serif" w:hAnsi="Times New Roman;serif"/>
          <w:b w:val="false"/>
          <w:i/>
          <w:color w:val="000000"/>
          <w:sz w:val="16"/>
        </w:rPr>
        <w:t>(1)Growth CAPEX is defined as capital expenditures associated with investments in equipment for joint revenue sharing arrangements.</w:t>
      </w:r>
    </w:p>
    <w:p>
      <w:pPr>
        <w:pStyle w:val="TextBody"/>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6205</Words>
  <Characters>35592</Characters>
  <CharactersWithSpaces>41056</CharactersWithSpaces>
  <Paragraphs>1301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