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739.xml.htm"/>
      <w:bookmarkStart w:id="1" w:name="ksmarketforms737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Zlatar Jose Aleksandr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2525 SPEAKMAN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MISSISSAUGA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L6H 6T6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IMAX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Controller &amp; PAO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1"/>
        <w:gridCol w:w="905"/>
        <w:gridCol w:w="774"/>
        <w:gridCol w:w="601"/>
        <w:gridCol w:w="353"/>
        <w:gridCol w:w="821"/>
        <w:gridCol w:w="467"/>
        <w:gridCol w:w="681"/>
        <w:gridCol w:w="1185"/>
        <w:gridCol w:w="1014"/>
        <w:gridCol w:w="93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(opening balance)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1,083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49.9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Mr. Zlatar's aggregate remaining restricted share units and common share balances following these transactions are 6,695 and 583, respectively.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I. Weissman (attorney-in-fact for Jose Aleksandr Zlatar)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9758" TargetMode="External"/><Relationship Id="rId5" Type="http://schemas.openxmlformats.org/officeDocument/2006/relationships/hyperlink" Target="http://www.sec.gov/cgi-bin/browse-edgar?action=getcompany&amp;CIK=00009215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3281</Characters>
  <CharactersWithSpaces>3807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