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IMAX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2"/>
        <w:gridCol w:w="8053"/>
      </w:tblGrid>
      <w:tr>
        <w:trPr/>
        <w:tc>
          <w:tcPr>
            <w:tcW w:w="2152" w:type="dxa"/>
            <w:tcBorders/>
            <w:vAlign w:val="center"/>
          </w:tcPr>
          <w:p>
            <w:pPr>
              <w:pStyle w:val="TableContents"/>
              <w:bidi w:val="0"/>
              <w:spacing w:before="0" w:after="283"/>
              <w:jc w:val="left"/>
              <w:rPr/>
            </w:pPr>
            <w:r>
              <w:rPr/>
              <w:t>1</w:t>
            </w:r>
          </w:p>
        </w:tc>
        <w:tc>
          <w:tcPr>
            <w:tcW w:w="805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ASSET MANAGEMENT INTERNATIONAL INC.</w:t>
            </w:r>
          </w:p>
        </w:tc>
      </w:tr>
      <w:tr>
        <w:trPr/>
        <w:tc>
          <w:tcPr>
            <w:tcW w:w="2152" w:type="dxa"/>
            <w:tcBorders/>
            <w:vAlign w:val="center"/>
          </w:tcPr>
          <w:p>
            <w:pPr>
              <w:pStyle w:val="TableContents"/>
              <w:bidi w:val="0"/>
              <w:spacing w:before="0" w:after="283"/>
              <w:jc w:val="left"/>
              <w:rPr/>
            </w:pPr>
            <w:r>
              <w:rPr/>
              <w:t>2</w:t>
            </w:r>
          </w:p>
        </w:tc>
        <w:tc>
          <w:tcPr>
            <w:tcW w:w="805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2" w:type="dxa"/>
            <w:tcBorders/>
            <w:vAlign w:val="center"/>
          </w:tcPr>
          <w:p>
            <w:pPr>
              <w:pStyle w:val="TableContents"/>
              <w:bidi w:val="0"/>
              <w:spacing w:before="0" w:after="283"/>
              <w:jc w:val="left"/>
              <w:rPr/>
            </w:pPr>
            <w:r>
              <w:rPr/>
              <w:t>3</w:t>
            </w:r>
          </w:p>
        </w:tc>
        <w:tc>
          <w:tcPr>
            <w:tcW w:w="8053" w:type="dxa"/>
            <w:tcBorders/>
            <w:vAlign w:val="center"/>
          </w:tcPr>
          <w:p>
            <w:pPr>
              <w:pStyle w:val="TableContents"/>
              <w:bidi w:val="0"/>
              <w:spacing w:before="0" w:after="283"/>
              <w:jc w:val="left"/>
              <w:rPr/>
            </w:pPr>
            <w:r>
              <w:rPr/>
              <w:t>Sec Use Only</w:t>
            </w:r>
          </w:p>
        </w:tc>
      </w:tr>
      <w:tr>
        <w:trPr/>
        <w:tc>
          <w:tcPr>
            <w:tcW w:w="2152" w:type="dxa"/>
            <w:tcBorders/>
            <w:vAlign w:val="center"/>
          </w:tcPr>
          <w:p>
            <w:pPr>
              <w:pStyle w:val="TableContents"/>
              <w:bidi w:val="0"/>
              <w:spacing w:before="0" w:after="283"/>
              <w:jc w:val="left"/>
              <w:rPr/>
            </w:pPr>
            <w:r>
              <w:rPr/>
              <w:t>4</w:t>
            </w:r>
          </w:p>
        </w:tc>
        <w:tc>
          <w:tcPr>
            <w:tcW w:w="805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5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2,936,661.00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2,936,661.00</w:t>
                  </w:r>
                </w:p>
              </w:tc>
            </w:tr>
          </w:tbl>
          <w:p>
            <w:pPr>
              <w:pStyle w:val="TableContents"/>
              <w:bidi w:val="0"/>
              <w:spacing w:before="0" w:after="283"/>
              <w:jc w:val="left"/>
              <w:rPr/>
            </w:pPr>
            <w:r>
              <w:rPr/>
            </w:r>
          </w:p>
        </w:tc>
        <w:tc>
          <w:tcPr>
            <w:tcW w:w="8053"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center"/>
          </w:tcPr>
          <w:p>
            <w:pPr>
              <w:pStyle w:val="TableContents"/>
              <w:bidi w:val="0"/>
              <w:spacing w:before="0" w:after="283"/>
              <w:jc w:val="left"/>
              <w:rPr/>
            </w:pPr>
            <w:r>
              <w:rPr/>
              <w:t>9</w:t>
            </w:r>
          </w:p>
        </w:tc>
        <w:tc>
          <w:tcPr>
            <w:tcW w:w="805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2,936,661.00</w:t>
            </w:r>
          </w:p>
        </w:tc>
      </w:tr>
      <w:tr>
        <w:trPr/>
        <w:tc>
          <w:tcPr>
            <w:tcW w:w="2152" w:type="dxa"/>
            <w:tcBorders/>
            <w:vAlign w:val="center"/>
          </w:tcPr>
          <w:p>
            <w:pPr>
              <w:pStyle w:val="TableContents"/>
              <w:bidi w:val="0"/>
              <w:spacing w:before="0" w:after="283"/>
              <w:jc w:val="left"/>
              <w:rPr/>
            </w:pPr>
            <w:r>
              <w:rPr/>
              <w:t>10</w:t>
            </w:r>
          </w:p>
        </w:tc>
        <w:tc>
          <w:tcPr>
            <w:tcW w:w="805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2" w:type="dxa"/>
            <w:tcBorders/>
            <w:vAlign w:val="center"/>
          </w:tcPr>
          <w:p>
            <w:pPr>
              <w:pStyle w:val="TableContents"/>
              <w:bidi w:val="0"/>
              <w:spacing w:before="0" w:after="283"/>
              <w:jc w:val="left"/>
              <w:rPr/>
            </w:pPr>
            <w:r>
              <w:rPr/>
              <w:t>11</w:t>
            </w:r>
          </w:p>
        </w:tc>
        <w:tc>
          <w:tcPr>
            <w:tcW w:w="805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52" w:type="dxa"/>
            <w:tcBorders/>
            <w:vAlign w:val="center"/>
          </w:tcPr>
          <w:p>
            <w:pPr>
              <w:pStyle w:val="TableContents"/>
              <w:bidi w:val="0"/>
              <w:spacing w:before="0" w:after="283"/>
              <w:jc w:val="left"/>
              <w:rPr/>
            </w:pPr>
            <w:r>
              <w:rPr/>
              <w:t>12</w:t>
            </w:r>
          </w:p>
        </w:tc>
        <w:tc>
          <w:tcPr>
            <w:tcW w:w="805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is calculated based on 54,842,114 Common Shares outstanding as of June 30, 2026, as reported in the Issuer's quarterly report on Form 10-Q for the fiscal quarter ended June 30, 2026 filed with the SEC on July 23,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NOMURA INVESTMENT MANAGEMENT BUSINESS TRUST</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2,936,661.00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2,936,661.00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2,936,661.00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percent of class is calculated based on 54,842,114 Common Shares outstanding as of June 30, 2026, as reported in the Issuer's quarterly report on Form 10-Q for the fiscal quarter ended June 30, 2026 filed with the SEC on July 23,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IMAX CORP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2525 Speakman Drive, Mississauga, Ontario, Canada, L5K 1B1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Nomura Asset Management International Inc. Nomura Investment Management Business Trust This Schedule 13G excludes securities beneficially owned, if any, by Nomura Holdings Inc. and certain of its subsidiaries whose beneficial ownership of securities are disaggregated from that of Nomura Asset Management International Inc. and the advisory entities underneath Nomura Asset Management International Inc. in accordance with SEC Release No.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Nomura Asset Management International Inc. and Nomura Investment Management Business Trust: 100 Independence 610 Market Street Philadelphia, PA 19106-2354</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Each of Nomura Asset Management International Inc. and Nomura Investment Management Business Trust: Delaware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5-11 of the cover pages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Items 5-11 of the cover pages are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Items 5-11 of the cover pages are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397"/>
        <w:gridCol w:w="4808"/>
      </w:tblGrid>
      <w:tr>
        <w:trPr/>
        <w:tc>
          <w:tcPr>
            <w:tcW w:w="5397" w:type="dxa"/>
            <w:tcBorders/>
            <w:vAlign w:val="center"/>
          </w:tcPr>
          <w:p>
            <w:pPr>
              <w:pStyle w:val="TableContents"/>
              <w:bidi w:val="0"/>
              <w:spacing w:before="0" w:after="0"/>
              <w:jc w:val="left"/>
              <w:rPr/>
            </w:pPr>
            <w:r>
              <w:rPr/>
              <w:t> </w:t>
            </w:r>
          </w:p>
          <w:tbl>
            <w:tblPr>
              <w:tblW w:w="6496" w:type="dxa"/>
              <w:jc w:val="left"/>
              <w:tblInd w:w="0" w:type="dxa"/>
              <w:tblLayout w:type="fixed"/>
              <w:tblCellMar>
                <w:top w:w="28" w:type="dxa"/>
                <w:left w:w="28" w:type="dxa"/>
                <w:bottom w:w="28" w:type="dxa"/>
                <w:right w:w="28" w:type="dxa"/>
              </w:tblCellMar>
            </w:tblPr>
            <w:tblGrid>
              <w:gridCol w:w="6496"/>
            </w:tblGrid>
            <w:tr>
              <w:trPr/>
              <w:tc>
                <w:tcPr>
                  <w:tcW w:w="6496" w:type="dxa"/>
                  <w:tcBorders/>
                  <w:vAlign w:val="center"/>
                </w:tcPr>
                <w:p>
                  <w:pPr>
                    <w:pStyle w:val="TableContents"/>
                    <w:bidi w:val="0"/>
                    <w:spacing w:before="0" w:after="0"/>
                    <w:jc w:val="left"/>
                    <w:rPr/>
                  </w:pPr>
                  <w:r>
                    <w:rPr/>
                    <w:t>NOMURA ASSET MANAGEMENT INTERNATIONAL INC.</w:t>
                  </w:r>
                </w:p>
              </w:tc>
            </w:tr>
          </w:tbl>
          <w:p>
            <w:pPr>
              <w:pStyle w:val="TableContents"/>
              <w:bidi w:val="0"/>
              <w:spacing w:before="0" w:after="283"/>
              <w:jc w:val="left"/>
              <w:rPr/>
            </w:pPr>
            <w:r>
              <w:rPr/>
            </w:r>
          </w:p>
        </w:tc>
        <w:tc>
          <w:tcPr>
            <w:tcW w:w="4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Fernando del Puerto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Fernando del Puerto, Managing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92"/>
        <w:gridCol w:w="4813"/>
      </w:tblGrid>
      <w:tr>
        <w:trPr/>
        <w:tc>
          <w:tcPr>
            <w:tcW w:w="5392" w:type="dxa"/>
            <w:tcBorders/>
            <w:vAlign w:val="center"/>
          </w:tcPr>
          <w:p>
            <w:pPr>
              <w:pStyle w:val="TableContents"/>
              <w:bidi w:val="0"/>
              <w:spacing w:before="0" w:after="0"/>
              <w:jc w:val="left"/>
              <w:rPr/>
            </w:pPr>
            <w:r>
              <w:rPr/>
              <w:t> </w:t>
            </w:r>
          </w:p>
          <w:tbl>
            <w:tblPr>
              <w:tblW w:w="6766" w:type="dxa"/>
              <w:jc w:val="left"/>
              <w:tblInd w:w="0" w:type="dxa"/>
              <w:tblLayout w:type="fixed"/>
              <w:tblCellMar>
                <w:top w:w="28" w:type="dxa"/>
                <w:left w:w="28" w:type="dxa"/>
                <w:bottom w:w="28" w:type="dxa"/>
                <w:right w:w="28" w:type="dxa"/>
              </w:tblCellMar>
            </w:tblPr>
            <w:tblGrid>
              <w:gridCol w:w="6766"/>
            </w:tblGrid>
            <w:tr>
              <w:trPr/>
              <w:tc>
                <w:tcPr>
                  <w:tcW w:w="6766" w:type="dxa"/>
                  <w:tcBorders/>
                  <w:vAlign w:val="center"/>
                </w:tcPr>
                <w:p>
                  <w:pPr>
                    <w:pStyle w:val="TableContents"/>
                    <w:bidi w:val="0"/>
                    <w:spacing w:before="0" w:after="0"/>
                    <w:jc w:val="left"/>
                    <w:rPr/>
                  </w:pPr>
                  <w:r>
                    <w:rPr/>
                    <w:t>NOMURA INVESTMENT MANAGEMENT BUSINESS TRUST</w:t>
                  </w:r>
                </w:p>
              </w:tc>
            </w:tr>
          </w:tbl>
          <w:p>
            <w:pPr>
              <w:pStyle w:val="TableContents"/>
              <w:bidi w:val="0"/>
              <w:spacing w:before="0" w:after="283"/>
              <w:jc w:val="left"/>
              <w:rPr/>
            </w:pPr>
            <w:r>
              <w:rPr/>
            </w:r>
          </w:p>
        </w:tc>
        <w:tc>
          <w:tcPr>
            <w:tcW w:w="48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Fernando del Puerto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Fernando del Puerto, Managing Director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0"/>
        <w:jc w:val="center"/>
        <w:rPr/>
      </w:pPr>
      <w:bookmarkStart w:id="20" w:name="jfa.htm"/>
      <w:bookmarkStart w:id="21" w:name="ksjfa"/>
      <w:bookmarkEnd w:id="20"/>
      <w:bookmarkEnd w:id="21"/>
      <w:r>
        <w:rPr>
          <w:b/>
          <w:color w:val="000000"/>
          <w:sz w:val="20"/>
        </w:rPr>
        <w:t>EXHIBIT A</w:t>
      </w:r>
      <w:r>
        <w:rPr/>
        <w:t xml:space="preserve"> </w:t>
      </w:r>
      <w:r>
        <w:br w:type="page"/>
      </w:r>
    </w:p>
    <w:p>
      <w:pPr>
        <w:pStyle w:val="TextBody"/>
        <w:bidi w:val="0"/>
        <w:spacing w:before="0" w:after="0"/>
        <w:jc w:val="center"/>
        <w:rPr/>
      </w:pPr>
      <w:r>
        <w:rPr/>
        <w:t xml:space="preserve">  </w:t>
      </w:r>
    </w:p>
    <w:p>
      <w:pPr>
        <w:pStyle w:val="TextBody"/>
        <w:bidi w:val="0"/>
        <w:spacing w:before="0" w:after="0"/>
        <w:jc w:val="center"/>
        <w:rPr/>
      </w:pPr>
      <w:r>
        <w:rPr>
          <w:b/>
          <w:color w:val="000000"/>
          <w:sz w:val="20"/>
        </w:rPr>
        <w:t>JOINT FILING AGREEMENT</w:t>
      </w:r>
      <w:r>
        <w:rPr/>
        <w:t xml:space="preserve"> </w:t>
      </w:r>
    </w:p>
    <w:p>
      <w:pPr>
        <w:pStyle w:val="TextBody"/>
        <w:bidi w:val="0"/>
        <w:spacing w:before="0" w:after="0"/>
        <w:jc w:val="center"/>
        <w:rPr/>
      </w:pPr>
      <w:r>
        <w:rPr/>
        <w:t xml:space="preserve">  </w:t>
      </w:r>
    </w:p>
    <w:p>
      <w:pPr>
        <w:pStyle w:val="TextBody"/>
        <w:bidi w:val="0"/>
        <w:spacing w:before="0" w:after="0"/>
        <w:jc w:val="left"/>
        <w:rPr/>
      </w:pPr>
      <w:r>
        <w:rPr>
          <w:color w:val="000000"/>
          <w:sz w:val="20"/>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August 14, 2026.</w:t>
      </w:r>
      <w:r>
        <w:rPr/>
        <w:t xml:space="preserve"> </w:t>
      </w:r>
    </w:p>
    <w:p>
      <w:pPr>
        <w:pStyle w:val="TextBody"/>
        <w:bidi w:val="0"/>
        <w:spacing w:before="0" w:after="0"/>
        <w:jc w:val="left"/>
        <w:rPr/>
      </w:pPr>
      <w:r>
        <w:rPr/>
        <w:t xml:space="preserve">  </w:t>
      </w:r>
    </w:p>
    <w:tbl>
      <w:tblPr>
        <w:tblW w:w="4362" w:type="dxa"/>
        <w:jc w:val="left"/>
        <w:tblInd w:w="0" w:type="dxa"/>
        <w:tblLayout w:type="fixed"/>
        <w:tblCellMar>
          <w:top w:w="0" w:type="dxa"/>
          <w:left w:w="0" w:type="dxa"/>
          <w:bottom w:w="0" w:type="dxa"/>
          <w:right w:w="0" w:type="dxa"/>
        </w:tblCellMar>
      </w:tblPr>
      <w:tblGrid>
        <w:gridCol w:w="4111"/>
        <w:gridCol w:w="251"/>
      </w:tblGrid>
      <w:tr>
        <w:trPr/>
        <w:tc>
          <w:tcPr>
            <w:tcW w:w="4111" w:type="dxa"/>
            <w:tcBorders/>
            <w:vAlign w:val="center"/>
          </w:tcPr>
          <w:p>
            <w:pPr>
              <w:pStyle w:val="TableContents"/>
              <w:bidi w:val="0"/>
              <w:spacing w:before="0" w:after="0"/>
              <w:jc w:val="left"/>
              <w:rPr/>
            </w:pPr>
            <w:r>
              <w:rPr>
                <w:color w:val="000000"/>
                <w:sz w:val="20"/>
              </w:rPr>
              <w:t>Nomura Asset Management International Inc.</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sz w:val="20"/>
                <w:u w:val="single"/>
              </w:rPr>
              <w:t>/s/ Fernando del Puerto</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sz w:val="20"/>
              </w:rPr>
              <w:t>Name: Fernando del Puerto</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sz w:val="20"/>
              </w:rPr>
              <w:t>Title:  Managing Director</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sz w:val="20"/>
              </w:rPr>
              <w:t>Nomura Investment Management Business Trust</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color w:val="000000"/>
                <w:sz w:val="20"/>
                <w:u w:val="single"/>
              </w:rPr>
            </w:pPr>
            <w:r>
              <w:rPr>
                <w:color w:val="000000"/>
                <w:sz w:val="20"/>
                <w:u w:val="single"/>
              </w:rPr>
              <w:t xml:space="preserve">/s/ Fernando del Puerto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sz w:val="20"/>
              </w:rPr>
              <w:t>Name: Fernando del Puerto</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4111" w:type="dxa"/>
            <w:tcBorders/>
            <w:vAlign w:val="center"/>
          </w:tcPr>
          <w:p>
            <w:pPr>
              <w:pStyle w:val="TableContents"/>
              <w:bidi w:val="0"/>
              <w:spacing w:before="0" w:after="0"/>
              <w:jc w:val="left"/>
              <w:rPr/>
            </w:pPr>
            <w:r>
              <w:rPr>
                <w:color w:val="000000"/>
                <w:sz w:val="20"/>
              </w:rPr>
              <w:t>Title:  Managing Director</w:t>
            </w:r>
            <w:r>
              <w:rPr/>
              <w:t xml:space="preserve"> </w:t>
            </w:r>
          </w:p>
        </w:tc>
        <w:tc>
          <w:tcPr>
            <w:tcW w:w="25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1220</Words>
  <Characters>6450</Characters>
  <CharactersWithSpaces>7678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