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IMAX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Orbis Investment Management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5,129,735.00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5,129,735.00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5,129,735.00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19"/>
        <w:gridCol w:w="8186"/>
      </w:tblGrid>
      <w:tr>
        <w:trPr/>
        <w:tc>
          <w:tcPr>
            <w:tcW w:w="2019" w:type="dxa"/>
            <w:tcBorders/>
            <w:vAlign w:val="center"/>
          </w:tcPr>
          <w:p>
            <w:pPr>
              <w:pStyle w:val="TableContents"/>
              <w:bidi w:val="0"/>
              <w:spacing w:before="0" w:after="283"/>
              <w:jc w:val="left"/>
              <w:rPr/>
            </w:pPr>
            <w:r>
              <w:rPr/>
              <w:t>1</w:t>
            </w:r>
          </w:p>
        </w:tc>
        <w:tc>
          <w:tcPr>
            <w:tcW w:w="818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Allan Gray Australia Pty Ltd</w:t>
            </w:r>
          </w:p>
        </w:tc>
      </w:tr>
      <w:tr>
        <w:trPr/>
        <w:tc>
          <w:tcPr>
            <w:tcW w:w="2019" w:type="dxa"/>
            <w:tcBorders/>
            <w:vAlign w:val="center"/>
          </w:tcPr>
          <w:p>
            <w:pPr>
              <w:pStyle w:val="TableContents"/>
              <w:bidi w:val="0"/>
              <w:spacing w:before="0" w:after="283"/>
              <w:jc w:val="left"/>
              <w:rPr/>
            </w:pPr>
            <w:r>
              <w:rPr/>
              <w:t>2</w:t>
            </w:r>
          </w:p>
        </w:tc>
        <w:tc>
          <w:tcPr>
            <w:tcW w:w="818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19" w:type="dxa"/>
            <w:tcBorders/>
            <w:vAlign w:val="center"/>
          </w:tcPr>
          <w:p>
            <w:pPr>
              <w:pStyle w:val="TableContents"/>
              <w:bidi w:val="0"/>
              <w:spacing w:before="0" w:after="283"/>
              <w:jc w:val="left"/>
              <w:rPr/>
            </w:pPr>
            <w:r>
              <w:rPr/>
              <w:t>3</w:t>
            </w:r>
          </w:p>
        </w:tc>
        <w:tc>
          <w:tcPr>
            <w:tcW w:w="8186" w:type="dxa"/>
            <w:tcBorders/>
            <w:vAlign w:val="center"/>
          </w:tcPr>
          <w:p>
            <w:pPr>
              <w:pStyle w:val="TableContents"/>
              <w:bidi w:val="0"/>
              <w:spacing w:before="0" w:after="283"/>
              <w:jc w:val="left"/>
              <w:rPr/>
            </w:pPr>
            <w:r>
              <w:rPr/>
              <w:t>Sec Use Only</w:t>
            </w:r>
          </w:p>
        </w:tc>
      </w:tr>
      <w:tr>
        <w:trPr/>
        <w:tc>
          <w:tcPr>
            <w:tcW w:w="2019" w:type="dxa"/>
            <w:tcBorders/>
            <w:vAlign w:val="center"/>
          </w:tcPr>
          <w:p>
            <w:pPr>
              <w:pStyle w:val="TableContents"/>
              <w:bidi w:val="0"/>
              <w:spacing w:before="0" w:after="283"/>
              <w:jc w:val="left"/>
              <w:rPr/>
            </w:pPr>
            <w:r>
              <w:rPr/>
              <w:t>4</w:t>
            </w:r>
          </w:p>
        </w:tc>
        <w:tc>
          <w:tcPr>
            <w:tcW w:w="818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AUSTRALIA </w:t>
            </w:r>
          </w:p>
        </w:tc>
      </w:tr>
      <w:tr>
        <w:trPr/>
        <w:tc>
          <w:tcPr>
            <w:tcW w:w="201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19,820.00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19,820.00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6" w:type="dxa"/>
            <w:tcBorders/>
            <w:vAlign w:val="center"/>
          </w:tcPr>
          <w:p>
            <w:pPr>
              <w:pStyle w:val="TableContents"/>
              <w:bidi w:val="0"/>
              <w:spacing w:before="0" w:after="283"/>
              <w:jc w:val="left"/>
              <w:rPr>
                <w:sz w:val="4"/>
                <w:szCs w:val="4"/>
              </w:rPr>
            </w:pPr>
            <w:r>
              <w:rPr>
                <w:sz w:val="4"/>
                <w:szCs w:val="4"/>
              </w:rPr>
            </w:r>
          </w:p>
        </w:tc>
      </w:tr>
      <w:tr>
        <w:trPr/>
        <w:tc>
          <w:tcPr>
            <w:tcW w:w="2019" w:type="dxa"/>
            <w:tcBorders/>
            <w:vAlign w:val="center"/>
          </w:tcPr>
          <w:p>
            <w:pPr>
              <w:pStyle w:val="TableContents"/>
              <w:bidi w:val="0"/>
              <w:spacing w:before="0" w:after="283"/>
              <w:jc w:val="left"/>
              <w:rPr/>
            </w:pPr>
            <w:r>
              <w:rPr/>
              <w:t>9</w:t>
            </w:r>
          </w:p>
        </w:tc>
        <w:tc>
          <w:tcPr>
            <w:tcW w:w="818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19,820.00</w:t>
            </w:r>
          </w:p>
        </w:tc>
      </w:tr>
      <w:tr>
        <w:trPr/>
        <w:tc>
          <w:tcPr>
            <w:tcW w:w="2019" w:type="dxa"/>
            <w:tcBorders/>
            <w:vAlign w:val="center"/>
          </w:tcPr>
          <w:p>
            <w:pPr>
              <w:pStyle w:val="TableContents"/>
              <w:bidi w:val="0"/>
              <w:spacing w:before="0" w:after="283"/>
              <w:jc w:val="left"/>
              <w:rPr/>
            </w:pPr>
            <w:r>
              <w:rPr/>
              <w:t>10</w:t>
            </w:r>
          </w:p>
        </w:tc>
        <w:tc>
          <w:tcPr>
            <w:tcW w:w="818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19" w:type="dxa"/>
            <w:tcBorders/>
            <w:vAlign w:val="center"/>
          </w:tcPr>
          <w:p>
            <w:pPr>
              <w:pStyle w:val="TableContents"/>
              <w:bidi w:val="0"/>
              <w:spacing w:before="0" w:after="283"/>
              <w:jc w:val="left"/>
              <w:rPr/>
            </w:pPr>
            <w:r>
              <w:rPr/>
              <w:t>11</w:t>
            </w:r>
          </w:p>
        </w:tc>
        <w:tc>
          <w:tcPr>
            <w:tcW w:w="818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9" w:type="dxa"/>
            <w:tcBorders/>
            <w:vAlign w:val="center"/>
          </w:tcPr>
          <w:p>
            <w:pPr>
              <w:pStyle w:val="TableContents"/>
              <w:bidi w:val="0"/>
              <w:spacing w:before="0" w:after="283"/>
              <w:jc w:val="left"/>
              <w:rPr/>
            </w:pPr>
            <w:r>
              <w:rPr/>
              <w:t>12</w:t>
            </w:r>
          </w:p>
        </w:tc>
        <w:tc>
          <w:tcPr>
            <w:tcW w:w="818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34"/>
        <w:gridCol w:w="8916"/>
        <w:gridCol w:w="155"/>
      </w:tblGrid>
      <w:tr>
        <w:trPr/>
        <w:tc>
          <w:tcPr>
            <w:tcW w:w="1134" w:type="dxa"/>
            <w:tcBorders/>
            <w:vAlign w:val="center"/>
          </w:tcPr>
          <w:p>
            <w:pPr>
              <w:pStyle w:val="TableContents"/>
              <w:bidi w:val="0"/>
              <w:spacing w:before="0" w:after="283"/>
              <w:jc w:val="left"/>
              <w:rPr/>
            </w:pPr>
            <w:r>
              <w:rPr/>
              <w:t>Item 1.</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issuer: </w:t>
            </w:r>
          </w:p>
          <w:p>
            <w:pPr>
              <w:pStyle w:val="TableContents"/>
              <w:bidi w:val="0"/>
              <w:spacing w:before="0" w:after="0"/>
              <w:jc w:val="left"/>
              <w:rPr/>
            </w:pPr>
            <w:r>
              <w:rPr/>
              <w:t>IMAX CORP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2525 SPEAKMAN DRIVE, MISSISSAUGA, ONTARIO, CANADA L5K 1B1</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2.</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person filing: </w:t>
            </w:r>
          </w:p>
          <w:p>
            <w:pPr>
              <w:pStyle w:val="TableContents"/>
              <w:bidi w:val="0"/>
              <w:spacing w:before="0" w:after="0"/>
              <w:jc w:val="left"/>
              <w:rPr/>
            </w:pPr>
            <w:r>
              <w:rPr/>
              <w:t>Orbis Investment Management Limited Allan Gray Australia Pty Ltd</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Orbis Investment Management Limited 25 Front Street Hamilton HM11, Bermuda Allan Gray Australia Pty Ltd Level 2, Challis House, 4 Martin Place Sydney NSW2000, Australia</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jc w:val="left"/>
              <w:rPr/>
            </w:pPr>
            <w:r>
              <w:rPr/>
              <w:t xml:space="preserve">Citizenship: </w:t>
            </w:r>
          </w:p>
          <w:p>
            <w:pPr>
              <w:pStyle w:val="TableContents"/>
              <w:bidi w:val="0"/>
              <w:spacing w:before="0" w:after="0"/>
              <w:jc w:val="left"/>
              <w:rPr/>
            </w:pPr>
            <w:r>
              <w:rPr/>
              <w:t>Orbis Investment Management Limited - BERMUDA Allan Gray Australia Pty Ltd - AUSTRALIA</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no par value</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3.</w:t>
            </w:r>
          </w:p>
        </w:tc>
        <w:tc>
          <w:tcPr>
            <w:tcW w:w="891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(f)</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(g)</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(h)</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(j)</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(k)</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9071" w:type="dxa"/>
            <w:gridSpan w:val="2"/>
            <w:tcBorders/>
            <w:vAlign w:val="center"/>
          </w:tcPr>
          <w:p>
            <w:pPr>
              <w:pStyle w:val="TableContents"/>
              <w:bidi w:val="0"/>
              <w:spacing w:before="0" w:after="0"/>
              <w:jc w:val="left"/>
              <w:rPr/>
            </w:pPr>
            <w:r>
              <w:rPr/>
              <w:t>Equivalent to IA.</w:t>
            </w:r>
          </w:p>
        </w:tc>
      </w:tr>
      <w:tr>
        <w:trPr/>
        <w:tc>
          <w:tcPr>
            <w:tcW w:w="1134" w:type="dxa"/>
            <w:tcBorders/>
            <w:vAlign w:val="center"/>
          </w:tcPr>
          <w:p>
            <w:pPr>
              <w:pStyle w:val="TableContents"/>
              <w:bidi w:val="0"/>
              <w:spacing w:before="0" w:after="283"/>
              <w:jc w:val="left"/>
              <w:rPr/>
            </w:pPr>
            <w:r>
              <w:rPr/>
              <w:t>Item 4.</w:t>
            </w:r>
          </w:p>
        </w:tc>
        <w:tc>
          <w:tcPr>
            <w:tcW w:w="891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5,149,555</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9.4  %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Orbis Investment Management Limited - 5,129,735 Allan Gray Australia Pty Ltd - 19,820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Orbis Investment Management Limited - 0 Allan Gray Australia Pty Ltd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Orbis Investment Management Limited - 5,129,735 Allan Gray Australia Pty Ltd - 19,820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Orbis Investment Management Limited - 0 Allan Gray Australia Pty Ltd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5.</w:t>
            </w:r>
          </w:p>
        </w:tc>
        <w:tc>
          <w:tcPr>
            <w:tcW w:w="891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6.</w:t>
            </w:r>
          </w:p>
        </w:tc>
        <w:tc>
          <w:tcPr>
            <w:tcW w:w="891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Other persons have the right to receive dividends from, the power to direct the receipt of dividends from, or the right to receive the proceeds from the sale of, the securities of the issuer identified in Item 4(a) that are beneficially owned by Orbis Investment Management Limited. Another person has the right to receive dividends from, the power to direct the receipt of dividends from, or the right to receive the proceeds from the sale of, the securities of the issuer identified in Item 4(a) that are beneficially owned by Allan Gray Australia Pty Ltd.</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7.</w:t>
            </w:r>
          </w:p>
        </w:tc>
        <w:tc>
          <w:tcPr>
            <w:tcW w:w="891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8.</w:t>
            </w:r>
          </w:p>
        </w:tc>
        <w:tc>
          <w:tcPr>
            <w:tcW w:w="891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Information with respect to each of Orbis Investment Management Limited and Allan Gray Australia Pty Ltd (collectively, the "Reporting Persons") is given solely by each such Reporting Person and no Reporting Person has responsibility for the accuracy or completeness of information supplied by any other Reporting Person. Orbis Investment Management Limited and Allan Gray Australia Pty Ltd are classified as a Non-U.S. Institution (FI) that is equivalent to an Investment Adviser (IA). Notwithstanding that the Reporting Persons are making this filing together, none of the Reporting Persons represents that it is a member of a group for the purposes of Section 13(d)(3) of the Securities Exchange Act of 1934, as amended. Each Reporting Person disclaims beneficial ownership of any shares beneficially owned by any other Reporting Person as specified in Item 4(a).</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9.</w:t>
            </w:r>
          </w:p>
        </w:tc>
        <w:tc>
          <w:tcPr>
            <w:tcW w:w="891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Item 10.</w:t>
            </w:r>
          </w:p>
        </w:tc>
        <w:tc>
          <w:tcPr>
            <w:tcW w:w="9037" w:type="dxa"/>
            <w:tcBorders/>
            <w:vAlign w:val="center"/>
          </w:tcPr>
          <w:p>
            <w:pPr>
              <w:pStyle w:val="TableContents"/>
              <w:bidi w:val="0"/>
              <w:spacing w:before="0" w:after="283"/>
              <w:jc w:val="left"/>
              <w:rPr/>
            </w:pPr>
            <w:r>
              <w:rPr/>
              <w:t>Certifications:</w:t>
            </w:r>
          </w:p>
        </w:tc>
      </w:tr>
      <w:tr>
        <w:trPr/>
        <w:tc>
          <w:tcPr>
            <w:tcW w:w="1168"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Orbis Investment Management Limited and Allan Gray Australia Pty Ltd is substantially comparable to the regulatory scheme applicable to the functionally equivalent U.S. institution(s). I also undertake to furnish to the Commission staff, upon request, information that would otherwise be disclosed in a Schedule 13D.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90" w:type="dxa"/>
        <w:jc w:val="left"/>
        <w:tblInd w:w="0" w:type="dxa"/>
        <w:tblLayout w:type="fixed"/>
        <w:tblCellMar>
          <w:top w:w="28" w:type="dxa"/>
          <w:left w:w="28" w:type="dxa"/>
          <w:bottom w:w="28" w:type="dxa"/>
          <w:right w:w="28" w:type="dxa"/>
        </w:tblCellMar>
      </w:tblPr>
      <w:tblGrid>
        <w:gridCol w:w="4045"/>
        <w:gridCol w:w="4045"/>
      </w:tblGrid>
      <w:tr>
        <w:trPr/>
        <w:tc>
          <w:tcPr>
            <w:tcW w:w="4045" w:type="dxa"/>
            <w:tcBorders/>
            <w:vAlign w:val="center"/>
          </w:tcPr>
          <w:p>
            <w:pPr>
              <w:pStyle w:val="TableContents"/>
              <w:bidi w:val="0"/>
              <w:spacing w:before="0" w:after="0"/>
              <w:jc w:val="left"/>
              <w:rPr/>
            </w:pPr>
            <w:r>
              <w:rPr/>
              <w:t> </w:t>
            </w:r>
          </w:p>
          <w:tbl>
            <w:tblPr>
              <w:tblW w:w="3871" w:type="dxa"/>
              <w:jc w:val="left"/>
              <w:tblInd w:w="0" w:type="dxa"/>
              <w:tblLayout w:type="fixed"/>
              <w:tblCellMar>
                <w:top w:w="28" w:type="dxa"/>
                <w:left w:w="28" w:type="dxa"/>
                <w:bottom w:w="28" w:type="dxa"/>
                <w:right w:w="28" w:type="dxa"/>
              </w:tblCellMar>
            </w:tblPr>
            <w:tblGrid>
              <w:gridCol w:w="3871"/>
            </w:tblGrid>
            <w:tr>
              <w:trPr/>
              <w:tc>
                <w:tcPr>
                  <w:tcW w:w="3871" w:type="dxa"/>
                  <w:tcBorders/>
                  <w:vAlign w:val="center"/>
                </w:tcPr>
                <w:p>
                  <w:pPr>
                    <w:pStyle w:val="TableContents"/>
                    <w:bidi w:val="0"/>
                    <w:spacing w:before="0" w:after="0"/>
                    <w:jc w:val="left"/>
                    <w:rPr/>
                  </w:pPr>
                  <w:r>
                    <w:rPr/>
                    <w:t>Orbis Investment Management Limited</w:t>
                  </w:r>
                </w:p>
              </w:tc>
            </w:tr>
          </w:tbl>
          <w:p>
            <w:pPr>
              <w:pStyle w:val="TableContents"/>
              <w:bidi w:val="0"/>
              <w:spacing w:before="0" w:after="283"/>
              <w:jc w:val="left"/>
              <w:rPr/>
            </w:pPr>
            <w:r>
              <w:rPr/>
            </w:r>
          </w:p>
        </w:tc>
        <w:tc>
          <w:tcPr>
            <w:tcW w:w="40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3"/>
        <w:gridCol w:w="4082"/>
      </w:tblGrid>
      <w:tr>
        <w:trPr/>
        <w:tc>
          <w:tcPr>
            <w:tcW w:w="61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Matthew Gaarder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Attorney-in-Fact</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2" w:type="dxa"/>
            <w:tcBorders/>
            <w:vAlign w:val="center"/>
          </w:tcPr>
          <w:p>
            <w:pPr>
              <w:pStyle w:val="TableContents"/>
              <w:bidi w:val="0"/>
              <w:spacing w:before="0" w:after="283"/>
              <w:jc w:val="left"/>
              <w:rPr>
                <w:sz w:val="4"/>
                <w:szCs w:val="4"/>
              </w:rPr>
            </w:pPr>
            <w:r>
              <w:rPr>
                <w:sz w:val="4"/>
                <w:szCs w:val="4"/>
              </w:rPr>
            </w:r>
          </w:p>
        </w:tc>
      </w:tr>
    </w:tbl>
    <w:tbl>
      <w:tblPr>
        <w:tblW w:w="6088" w:type="dxa"/>
        <w:jc w:val="left"/>
        <w:tblInd w:w="0" w:type="dxa"/>
        <w:tblLayout w:type="fixed"/>
        <w:tblCellMar>
          <w:top w:w="28" w:type="dxa"/>
          <w:left w:w="28" w:type="dxa"/>
          <w:bottom w:w="28" w:type="dxa"/>
          <w:right w:w="28" w:type="dxa"/>
        </w:tblCellMar>
      </w:tblPr>
      <w:tblGrid>
        <w:gridCol w:w="3044"/>
        <w:gridCol w:w="3044"/>
      </w:tblGrid>
      <w:tr>
        <w:trPr/>
        <w:tc>
          <w:tcPr>
            <w:tcW w:w="3044" w:type="dxa"/>
            <w:tcBorders/>
            <w:vAlign w:val="center"/>
          </w:tcPr>
          <w:p>
            <w:pPr>
              <w:pStyle w:val="TableContents"/>
              <w:bidi w:val="0"/>
              <w:spacing w:before="0" w:after="0"/>
              <w:jc w:val="left"/>
              <w:rPr/>
            </w:pPr>
            <w:r>
              <w:rPr/>
              <w:t> </w:t>
            </w:r>
          </w:p>
          <w:tbl>
            <w:tblPr>
              <w:tblW w:w="2911" w:type="dxa"/>
              <w:jc w:val="left"/>
              <w:tblInd w:w="0" w:type="dxa"/>
              <w:tblLayout w:type="fixed"/>
              <w:tblCellMar>
                <w:top w:w="28" w:type="dxa"/>
                <w:left w:w="28" w:type="dxa"/>
                <w:bottom w:w="28" w:type="dxa"/>
                <w:right w:w="28" w:type="dxa"/>
              </w:tblCellMar>
            </w:tblPr>
            <w:tblGrid>
              <w:gridCol w:w="2911"/>
            </w:tblGrid>
            <w:tr>
              <w:trPr/>
              <w:tc>
                <w:tcPr>
                  <w:tcW w:w="2911" w:type="dxa"/>
                  <w:tcBorders/>
                  <w:vAlign w:val="center"/>
                </w:tcPr>
                <w:p>
                  <w:pPr>
                    <w:pStyle w:val="TableContents"/>
                    <w:bidi w:val="0"/>
                    <w:spacing w:before="0" w:after="0"/>
                    <w:jc w:val="left"/>
                    <w:rPr/>
                  </w:pPr>
                  <w:r>
                    <w:rPr/>
                    <w:t>Allan Gray Australia Pty Ltd</w:t>
                  </w:r>
                </w:p>
              </w:tc>
            </w:tr>
          </w:tbl>
          <w:p>
            <w:pPr>
              <w:pStyle w:val="TableContents"/>
              <w:bidi w:val="0"/>
              <w:spacing w:before="0" w:after="283"/>
              <w:jc w:val="left"/>
              <w:rPr/>
            </w:pPr>
            <w:r>
              <w:rPr/>
            </w:r>
          </w:p>
        </w:tc>
        <w:tc>
          <w:tcPr>
            <w:tcW w:w="304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3"/>
        <w:gridCol w:w="4082"/>
      </w:tblGrid>
      <w:tr>
        <w:trPr/>
        <w:tc>
          <w:tcPr>
            <w:tcW w:w="61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Matthew Gaarder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Attorney-in-Fact</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1373</Words>
  <Characters>7143</Characters>
  <CharactersWithSpaces>8484</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